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420"/>
        </w:tabs>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cs="宋体"/>
          <w:b/>
          <w:bCs/>
          <w:color w:val="auto"/>
          <w:sz w:val="36"/>
          <w:szCs w:val="36"/>
          <w:lang w:val="en-US" w:eastAsia="zh-CN"/>
        </w:rPr>
      </w:pPr>
      <w:r>
        <w:rPr>
          <w:rFonts w:hint="eastAsia" w:ascii="宋体" w:hAnsi="宋体" w:cs="宋体"/>
          <w:b/>
          <w:bCs/>
          <w:color w:val="auto"/>
          <w:sz w:val="36"/>
          <w:szCs w:val="36"/>
          <w:lang w:val="en-US" w:eastAsia="zh-CN"/>
        </w:rPr>
        <w:t>-</w:t>
      </w:r>
    </w:p>
    <w:p>
      <w:pPr>
        <w:pStyle w:val="2"/>
        <w:rPr>
          <w:rFonts w:hint="eastAsia"/>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center"/>
        <w:textAlignment w:val="auto"/>
        <w:outlineLvl w:val="9"/>
        <w:rPr>
          <w:rFonts w:hint="eastAsia" w:ascii="宋体" w:hAnsi="宋体" w:eastAsia="宋体" w:cs="宋体"/>
          <w:b/>
          <w:bCs/>
          <w:color w:val="auto"/>
          <w:sz w:val="40"/>
          <w:szCs w:val="40"/>
          <w:lang w:eastAsia="zh-CN"/>
        </w:rPr>
      </w:pPr>
      <w:r>
        <w:rPr>
          <w:rFonts w:hint="eastAsia" w:ascii="宋体" w:hAnsi="宋体" w:cs="宋体"/>
          <w:b/>
          <w:bCs/>
          <w:color w:val="auto"/>
          <w:sz w:val="40"/>
          <w:szCs w:val="40"/>
          <w:lang w:eastAsia="zh-CN"/>
        </w:rPr>
        <w:t>铜锣寨风景区总体规划及一期项目详细规划设计</w:t>
      </w: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询</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4"/>
          <w:szCs w:val="44"/>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价</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文</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color w:val="auto"/>
          <w:sz w:val="44"/>
        </w:rPr>
      </w:pPr>
      <w:r>
        <w:rPr>
          <w:rFonts w:hint="eastAsia" w:ascii="宋体" w:hAnsi="宋体" w:eastAsia="宋体" w:cs="宋体"/>
          <w:b/>
          <w:bCs/>
          <w:color w:val="auto"/>
          <w:sz w:val="48"/>
          <w:szCs w:val="48"/>
        </w:rPr>
        <w:t>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DBSCG-2019-009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9"/>
          <w:kern w:val="0"/>
          <w:sz w:val="32"/>
          <w:szCs w:val="32"/>
          <w:lang w:eastAsia="zh-CN"/>
        </w:rPr>
        <w:t>采购单位</w:t>
      </w:r>
      <w:r>
        <w:rPr>
          <w:rFonts w:hint="eastAsia" w:ascii="宋体" w:hAnsi="宋体" w:cs="宋体"/>
          <w:b/>
          <w:color w:val="auto"/>
          <w:spacing w:val="-9"/>
          <w:kern w:val="0"/>
          <w:sz w:val="32"/>
          <w:szCs w:val="32"/>
          <w:lang w:val="en-US" w:eastAsia="zh-CN"/>
        </w:rPr>
        <w:t>:</w:t>
      </w:r>
      <w:r>
        <w:rPr>
          <w:rFonts w:hint="eastAsia" w:ascii="宋体" w:hAnsi="宋体" w:cs="宋体"/>
          <w:b/>
          <w:color w:val="auto"/>
          <w:spacing w:val="-9"/>
          <w:kern w:val="0"/>
          <w:sz w:val="32"/>
          <w:szCs w:val="32"/>
          <w:u w:val="none"/>
          <w:lang w:eastAsia="zh-CN"/>
        </w:rPr>
        <w:t>霍山大别山文化旅游发展投资有限公司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0"/>
          <w:kern w:val="0"/>
          <w:sz w:val="32"/>
          <w:szCs w:val="32"/>
          <w:lang w:eastAsia="zh-CN"/>
        </w:rPr>
        <w:t>采购代理机构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4"/>
          <w:kern w:val="0"/>
          <w:sz w:val="32"/>
          <w:szCs w:val="32"/>
          <w:u w:val="none"/>
        </w:rPr>
      </w:pPr>
      <w:r>
        <w:rPr>
          <w:rFonts w:hint="eastAsia" w:ascii="宋体" w:hAnsi="宋体" w:eastAsia="宋体" w:cs="宋体"/>
          <w:b/>
          <w:color w:val="auto"/>
          <w:spacing w:val="14"/>
          <w:kern w:val="0"/>
          <w:sz w:val="32"/>
          <w:szCs w:val="32"/>
        </w:rPr>
        <w:t>采购时间：</w:t>
      </w:r>
      <w:r>
        <w:rPr>
          <w:rFonts w:hint="eastAsia" w:ascii="宋体" w:hAnsi="宋体" w:eastAsia="宋体" w:cs="宋体"/>
          <w:b/>
          <w:color w:val="auto"/>
          <w:spacing w:val="14"/>
          <w:kern w:val="0"/>
          <w:sz w:val="32"/>
          <w:szCs w:val="32"/>
          <w:u w:val="none"/>
        </w:rPr>
        <w:t>二0一</w:t>
      </w:r>
      <w:r>
        <w:rPr>
          <w:rFonts w:hint="eastAsia" w:ascii="宋体" w:hAnsi="宋体" w:cs="宋体"/>
          <w:b/>
          <w:color w:val="auto"/>
          <w:spacing w:val="14"/>
          <w:kern w:val="0"/>
          <w:sz w:val="32"/>
          <w:szCs w:val="32"/>
          <w:u w:val="none"/>
          <w:lang w:eastAsia="zh-CN"/>
        </w:rPr>
        <w:t>九</w:t>
      </w:r>
      <w:r>
        <w:rPr>
          <w:rFonts w:hint="eastAsia" w:ascii="宋体" w:hAnsi="宋体" w:eastAsia="宋体" w:cs="宋体"/>
          <w:b/>
          <w:color w:val="auto"/>
          <w:spacing w:val="14"/>
          <w:kern w:val="0"/>
          <w:sz w:val="32"/>
          <w:szCs w:val="32"/>
          <w:u w:val="none"/>
        </w:rPr>
        <w:t>年</w:t>
      </w:r>
      <w:r>
        <w:rPr>
          <w:rFonts w:hint="eastAsia" w:ascii="宋体" w:hAnsi="宋体" w:cs="宋体"/>
          <w:b/>
          <w:color w:val="auto"/>
          <w:spacing w:val="14"/>
          <w:kern w:val="0"/>
          <w:sz w:val="32"/>
          <w:szCs w:val="32"/>
          <w:u w:val="none"/>
          <w:lang w:eastAsia="zh-CN"/>
        </w:rPr>
        <w:t>十</w:t>
      </w:r>
      <w:r>
        <w:rPr>
          <w:rFonts w:hint="eastAsia" w:ascii="宋体" w:hAnsi="宋体" w:eastAsia="宋体" w:cs="宋体"/>
          <w:b/>
          <w:color w:val="auto"/>
          <w:spacing w:val="14"/>
          <w:kern w:val="0"/>
          <w:sz w:val="32"/>
          <w:szCs w:val="32"/>
          <w:u w:val="none"/>
        </w:rPr>
        <w:t>月</w:t>
      </w: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both"/>
        <w:textAlignment w:val="auto"/>
        <w:outlineLvl w:val="9"/>
        <w:rPr>
          <w:rFonts w:hint="eastAsia" w:ascii="宋体" w:hAnsi="宋体" w:eastAsia="宋体" w:cs="宋体"/>
          <w:b/>
          <w:bCs/>
          <w:color w:val="auto"/>
          <w:sz w:val="30"/>
          <w:szCs w:val="30"/>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134" w:right="1247" w:bottom="1134" w:left="1247" w:header="567" w:footer="992" w:gutter="0"/>
          <w:pgNumType w:fmt="decimal" w:start="1"/>
          <w:cols w:space="720" w:num="1"/>
          <w:titlePg/>
          <w:rtlGutter w:val="0"/>
          <w:docGrid w:type="lines" w:linePitch="312" w:charSpace="0"/>
        </w:sect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216158623"/>
      <w:bookmarkStart w:id="2" w:name="_Toc363199264"/>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1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1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bookmarkStart w:id="4" w:name="_Toc25245_WPSOffice_Level1Page"/>
      <w:r>
        <w:rPr>
          <w:rFonts w:hint="eastAsia" w:ascii="宋体" w:hAnsi="宋体" w:eastAsia="宋体" w:cs="宋体"/>
          <w:color w:val="auto"/>
          <w:sz w:val="28"/>
          <w:szCs w:val="28"/>
        </w:rPr>
        <w:t>4</w:t>
      </w:r>
      <w:bookmarkEnd w:id="4"/>
      <w:r>
        <w:rPr>
          <w:rFonts w:hint="eastAsia" w:ascii="宋体" w:hAnsi="宋体" w:eastAsia="宋体" w:cs="宋体"/>
          <w:color w:val="auto"/>
          <w:sz w:val="28"/>
          <w:szCs w:val="28"/>
        </w:rPr>
        <w:fldChar w:fldCharType="end"/>
      </w:r>
    </w:p>
    <w:p>
      <w:pPr>
        <w:pStyle w:val="1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bookmarkStart w:id="5" w:name="_Toc8300_WPSOffice_Level1Page"/>
      <w:r>
        <w:rPr>
          <w:rFonts w:hint="eastAsia" w:ascii="宋体" w:hAnsi="宋体" w:eastAsia="宋体" w:cs="宋体"/>
          <w:color w:val="auto"/>
          <w:sz w:val="28"/>
          <w:szCs w:val="28"/>
        </w:rPr>
        <w:t>9</w:t>
      </w:r>
      <w:bookmarkEnd w:id="5"/>
      <w:r>
        <w:rPr>
          <w:rFonts w:hint="eastAsia" w:ascii="宋体" w:hAnsi="宋体" w:eastAsia="宋体" w:cs="宋体"/>
          <w:color w:val="auto"/>
          <w:sz w:val="28"/>
          <w:szCs w:val="28"/>
        </w:rPr>
        <w:fldChar w:fldCharType="end"/>
      </w:r>
    </w:p>
    <w:p>
      <w:pPr>
        <w:pStyle w:val="1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6" w:name="_Toc16484_WPSOffice_Level1Page"/>
      <w:r>
        <w:rPr>
          <w:rFonts w:hint="eastAsia" w:ascii="宋体" w:hAnsi="宋体" w:eastAsia="宋体" w:cs="宋体"/>
          <w:color w:val="auto"/>
          <w:sz w:val="28"/>
          <w:szCs w:val="28"/>
        </w:rPr>
        <w:t>10</w:t>
      </w:r>
      <w:bookmarkEnd w:id="6"/>
      <w:r>
        <w:rPr>
          <w:rFonts w:hint="eastAsia" w:ascii="宋体" w:hAnsi="宋体" w:eastAsia="宋体" w:cs="宋体"/>
          <w:color w:val="auto"/>
          <w:sz w:val="28"/>
          <w:szCs w:val="28"/>
        </w:rPr>
        <w:fldChar w:fldCharType="end"/>
      </w:r>
    </w:p>
    <w:p>
      <w:pPr>
        <w:pStyle w:val="15"/>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7" w:name="_Toc4288_WPSOffice_Level1Page"/>
      <w:r>
        <w:rPr>
          <w:rFonts w:hint="eastAsia" w:ascii="宋体" w:hAnsi="宋体" w:eastAsia="宋体" w:cs="宋体"/>
          <w:color w:val="auto"/>
          <w:sz w:val="28"/>
          <w:szCs w:val="28"/>
        </w:rPr>
        <w:t>11</w:t>
      </w:r>
      <w:bookmarkEnd w:id="7"/>
      <w:r>
        <w:rPr>
          <w:rFonts w:hint="eastAsia" w:ascii="宋体" w:hAnsi="宋体" w:eastAsia="宋体" w:cs="宋体"/>
          <w:color w:val="auto"/>
          <w:sz w:val="28"/>
          <w:szCs w:val="28"/>
        </w:rPr>
        <w:fldChar w:fldCharType="end"/>
      </w:r>
    </w:p>
    <w:bookmarkEnd w:id="0"/>
    <w:p>
      <w:pPr>
        <w:keepNext w:val="0"/>
        <w:keepLines w:val="0"/>
        <w:pageBreakBefore w:val="0"/>
        <w:widowControl w:val="0"/>
        <w:tabs>
          <w:tab w:val="left" w:pos="420"/>
        </w:tabs>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8" w:name="_Toc14824_WPSOffice_Level1"/>
      <w:r>
        <w:rPr>
          <w:rFonts w:hint="eastAsia" w:ascii="微软雅黑" w:hAnsi="微软雅黑" w:eastAsia="微软雅黑" w:cs="微软雅黑"/>
          <w:b/>
          <w:i w:val="0"/>
          <w:caps w:val="0"/>
          <w:color w:val="auto"/>
          <w:spacing w:val="0"/>
          <w:sz w:val="37"/>
          <w:szCs w:val="37"/>
          <w:shd w:val="clear" w:color="auto" w:fill="FFFFFF"/>
          <w:lang w:val="en-US" w:eastAsia="zh-CN"/>
        </w:rPr>
        <w:t xml:space="preserve"> </w:t>
      </w:r>
      <w:r>
        <w:rPr>
          <w:rFonts w:hint="eastAsia" w:ascii="宋体" w:hAnsi="宋体" w:eastAsia="宋体" w:cs="宋体"/>
          <w:b/>
          <w:bCs/>
          <w:color w:val="auto"/>
          <w:kern w:val="0"/>
          <w:sz w:val="30"/>
          <w:szCs w:val="30"/>
          <w:lang w:val="en-US" w:eastAsia="zh-CN" w:bidi="ar-SA"/>
        </w:rPr>
        <w:t>一、</w:t>
      </w:r>
      <w:r>
        <w:rPr>
          <w:rFonts w:hint="eastAsia" w:ascii="宋体" w:hAnsi="宋体" w:cs="宋体"/>
          <w:b/>
          <w:bCs/>
          <w:color w:val="auto"/>
          <w:kern w:val="0"/>
          <w:sz w:val="30"/>
          <w:szCs w:val="30"/>
          <w:lang w:val="en-US" w:eastAsia="zh-CN" w:bidi="ar-SA"/>
        </w:rPr>
        <w:t>铜锣寨风景区总体规划及一期项目详细规划设计</w:t>
      </w:r>
      <w:r>
        <w:rPr>
          <w:rFonts w:hint="eastAsia" w:ascii="宋体" w:hAnsi="宋体" w:eastAsia="宋体" w:cs="宋体"/>
          <w:b/>
          <w:bCs/>
          <w:color w:val="auto"/>
          <w:kern w:val="0"/>
          <w:sz w:val="30"/>
          <w:szCs w:val="30"/>
          <w:lang w:val="en-US" w:eastAsia="zh-CN" w:bidi="ar-SA"/>
        </w:rPr>
        <w:t>询价公告</w:t>
      </w:r>
      <w:bookmarkEnd w:id="8"/>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铜锣寨风景区总体规划及一期项目详细规划设计</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安徽大别山国有资产投资（控股）集团有限公司</w:t>
      </w:r>
      <w:r>
        <w:rPr>
          <w:rFonts w:hint="eastAsia" w:ascii="宋体" w:hAnsi="宋体" w:eastAsia="宋体" w:cs="宋体"/>
          <w:color w:val="auto"/>
          <w:kern w:val="2"/>
          <w:sz w:val="21"/>
          <w:szCs w:val="21"/>
          <w:lang w:val="en-US" w:eastAsia="zh-CN" w:bidi="ar-SA"/>
        </w:rPr>
        <w:t>审批，采取询价方式采购。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eastAsia="宋体" w:cs="宋体"/>
          <w:i w:val="0"/>
          <w:caps w:val="0"/>
          <w:color w:val="auto"/>
          <w:spacing w:val="0"/>
          <w:sz w:val="21"/>
          <w:szCs w:val="21"/>
          <w:u w:val="single"/>
          <w:shd w:val="clear" w:color="auto" w:fill="FFFFFF"/>
        </w:rPr>
        <w:t> </w:t>
      </w:r>
      <w:r>
        <w:rPr>
          <w:rFonts w:hint="eastAsia" w:ascii="宋体" w:hAnsi="宋体" w:cs="宋体"/>
          <w:i w:val="0"/>
          <w:caps w:val="0"/>
          <w:color w:val="auto"/>
          <w:spacing w:val="0"/>
          <w:sz w:val="21"/>
          <w:szCs w:val="21"/>
          <w:u w:val="single"/>
          <w:shd w:val="clear" w:color="auto" w:fill="FFFFFF"/>
          <w:lang w:val="en-US" w:eastAsia="zh-CN"/>
        </w:rPr>
        <w:t>霍山大别山文化旅游发展投资有限公司</w:t>
      </w:r>
      <w:r>
        <w:rPr>
          <w:rFonts w:hint="eastAsia" w:ascii="宋体" w:hAnsi="宋体" w:eastAsia="宋体" w:cs="宋体"/>
          <w:i w:val="0"/>
          <w:caps w:val="0"/>
          <w:color w:val="auto"/>
          <w:spacing w:val="0"/>
          <w:sz w:val="21"/>
          <w:szCs w:val="21"/>
          <w:u w:val="single"/>
          <w:shd w:val="clear" w:color="auto" w:fill="FFFFFF"/>
          <w:lang w:eastAsia="zh-CN"/>
        </w:rPr>
        <w:t> </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铜锣寨风景区总体规划及一期项目详细规划设计</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铜锣寨风景区总体规划及一期项目详细规划设计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DBSCG-2019-009</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eastAsia="zh-CN"/>
        </w:rPr>
        <w:t>服务</w:t>
      </w:r>
      <w:r>
        <w:rPr>
          <w:rFonts w:hint="eastAsia" w:ascii="宋体" w:hAnsi="宋体" w:eastAsia="宋体" w:cs="宋体"/>
          <w:i w:val="0"/>
          <w:caps w:val="0"/>
          <w:color w:val="auto"/>
          <w:spacing w:val="0"/>
          <w:sz w:val="21"/>
          <w:szCs w:val="21"/>
          <w:shd w:val="clear" w:color="auto" w:fill="FFFFFF"/>
        </w:rPr>
        <w:t>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霍山大别山文化旅游发展投资有限公司</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eastAsia="宋体" w:cs="宋体"/>
          <w:i w:val="0"/>
          <w:caps w:val="0"/>
          <w:color w:val="auto"/>
          <w:spacing w:val="0"/>
          <w:sz w:val="21"/>
          <w:szCs w:val="21"/>
          <w:shd w:val="clear" w:color="auto" w:fill="FFFFFF"/>
        </w:rPr>
        <w:t>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98</w:t>
      </w:r>
      <w:r>
        <w:rPr>
          <w:rFonts w:hint="eastAsia" w:ascii="宋体" w:hAnsi="宋体" w:eastAsia="宋体" w:cs="宋体"/>
          <w:i w:val="0"/>
          <w:caps w:val="0"/>
          <w:color w:val="auto"/>
          <w:spacing w:val="0"/>
          <w:sz w:val="21"/>
          <w:szCs w:val="21"/>
          <w:shd w:val="clear" w:color="auto" w:fill="FFFFFF"/>
        </w:rPr>
        <w:t>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7、标段（包别）划分：不分包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1、符合《政府采购法》第二十二条要求；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val="en-US" w:eastAsia="zh-CN"/>
        </w:rPr>
        <w:t>具有独立法人资格及</w:t>
      </w:r>
      <w:r>
        <w:rPr>
          <w:rFonts w:hint="eastAsia" w:ascii="宋体" w:hAnsi="宋体" w:eastAsia="宋体" w:cs="宋体"/>
          <w:i w:val="0"/>
          <w:caps w:val="0"/>
          <w:color w:val="auto"/>
          <w:spacing w:val="0"/>
          <w:sz w:val="21"/>
          <w:szCs w:val="21"/>
          <w:shd w:val="clear" w:color="auto" w:fill="FFFFFF"/>
          <w:lang w:val="en-US" w:eastAsia="zh-CN"/>
        </w:rPr>
        <w:t>本次采购</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lang w:val="en-US" w:eastAsia="zh-CN"/>
        </w:rPr>
        <w:t>的供货及售后服务能力；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3、具有旅游规划设计乙级资质；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4、具有编写霍山县5A景区创建规划及辅导方案经验；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5、具有</w:t>
      </w:r>
      <w:r>
        <w:rPr>
          <w:rFonts w:hint="eastAsia" w:ascii="宋体" w:hAnsi="宋体" w:eastAsia="宋体" w:cs="宋体"/>
          <w:i w:val="0"/>
          <w:caps w:val="0"/>
          <w:color w:val="auto"/>
          <w:spacing w:val="0"/>
          <w:sz w:val="21"/>
          <w:szCs w:val="21"/>
          <w:shd w:val="clear" w:color="auto" w:fill="FFFFFF"/>
          <w:lang w:val="en-US" w:eastAsia="zh-CN"/>
        </w:rPr>
        <w:t>旅游规划设计工作有优良合作基础；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lang w:val="en-US" w:eastAsia="zh-CN"/>
        </w:rPr>
        <w:t>、能够指导施工图设计，确保前期规划设计的准确性和有效实施</w:t>
      </w:r>
      <w:r>
        <w:rPr>
          <w:rFonts w:hint="eastAsia" w:ascii="宋体" w:hAnsi="宋体" w:cs="宋体"/>
          <w:i w:val="0"/>
          <w:caps w:val="0"/>
          <w:color w:val="auto"/>
          <w:spacing w:val="0"/>
          <w:sz w:val="21"/>
          <w:szCs w:val="21"/>
          <w:shd w:val="clear" w:color="auto" w:fill="FFFFFF"/>
          <w:lang w:val="en-US" w:eastAsia="zh-CN"/>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lang w:val="en-US" w:eastAsia="zh-CN"/>
        </w:rPr>
        <w:t>、响应人须具有有效营业执照；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lang w:val="en-US" w:eastAsia="zh-CN"/>
        </w:rPr>
        <w:t>、供应商未被列入“信用中国”网站（www.creditchina.gov.cn）记录失信被执行人或重大税收案件当事人名单或政府采购严重违法失信行为记录名单的方可投标；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1、询价文件发售时间：2019年</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12</w:t>
      </w:r>
      <w:r>
        <w:rPr>
          <w:rFonts w:hint="eastAsia" w:ascii="宋体" w:hAnsi="宋体" w:eastAsia="宋体" w:cs="宋体"/>
          <w:i w:val="0"/>
          <w:caps w:val="0"/>
          <w:color w:val="auto"/>
          <w:spacing w:val="0"/>
          <w:sz w:val="21"/>
          <w:szCs w:val="21"/>
          <w:shd w:val="clear" w:color="auto" w:fill="FFFFFF"/>
        </w:rPr>
        <w:t>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时至2019年</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15</w:t>
      </w:r>
      <w:r>
        <w:rPr>
          <w:rFonts w:hint="eastAsia" w:ascii="宋体" w:hAnsi="宋体" w:eastAsia="宋体" w:cs="宋体"/>
          <w:i w:val="0"/>
          <w:caps w:val="0"/>
          <w:color w:val="auto"/>
          <w:spacing w:val="0"/>
          <w:sz w:val="21"/>
          <w:szCs w:val="21"/>
          <w:shd w:val="clear" w:color="auto" w:fill="FFFFFF"/>
        </w:rPr>
        <w:t>日</w:t>
      </w: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时</w:t>
      </w:r>
      <w:r>
        <w:rPr>
          <w:rFonts w:hint="eastAsia" w:ascii="宋体" w:hAnsi="宋体" w:cs="宋体"/>
          <w:i w:val="0"/>
          <w:caps w:val="0"/>
          <w:color w:val="auto"/>
          <w:spacing w:val="0"/>
          <w:sz w:val="21"/>
          <w:szCs w:val="21"/>
          <w:shd w:val="clear" w:color="auto" w:fill="FFFFFF"/>
          <w:lang w:val="en-US" w:eastAsia="zh-CN"/>
        </w:rPr>
        <w:t>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2、询价文件价格：免费领取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 xml:space="preserve">20033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3"/>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1、询价时间及响应文件提交截止时间：201</w:t>
      </w:r>
      <w:r>
        <w:rPr>
          <w:rFonts w:hint="eastAsia" w:ascii="宋体" w:hAnsi="宋体" w:eastAsia="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年</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eastAsia="宋体" w:cs="宋体"/>
          <w:i w:val="0"/>
          <w:caps w:val="0"/>
          <w:color w:val="auto"/>
          <w:spacing w:val="0"/>
          <w:sz w:val="21"/>
          <w:szCs w:val="21"/>
          <w:shd w:val="clear" w:color="auto" w:fill="FFFFFF"/>
        </w:rPr>
        <w:t>日</w:t>
      </w: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lang w:val="en-US" w:eastAsia="zh-CN"/>
        </w:rPr>
        <w:t>时</w:t>
      </w:r>
      <w:r>
        <w:rPr>
          <w:rFonts w:hint="eastAsia" w:ascii="宋体" w:hAnsi="宋体" w:cs="宋体"/>
          <w:i w:val="0"/>
          <w:caps w:val="0"/>
          <w:color w:val="auto"/>
          <w:spacing w:val="0"/>
          <w:sz w:val="21"/>
          <w:szCs w:val="21"/>
          <w:shd w:val="clear" w:color="auto" w:fill="FFFFFF"/>
          <w:lang w:val="en-US" w:eastAsia="zh-CN"/>
        </w:rPr>
        <w:t>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霍山大别山文化旅游发展投资有限公司</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王先生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15855223336</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蔡先生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电话： 0564-50</w:t>
      </w:r>
      <w:r>
        <w:rPr>
          <w:rFonts w:hint="eastAsia" w:ascii="宋体" w:hAnsi="宋体" w:cs="宋体"/>
          <w:i w:val="0"/>
          <w:caps w:val="0"/>
          <w:color w:val="auto"/>
          <w:spacing w:val="0"/>
          <w:sz w:val="21"/>
          <w:szCs w:val="21"/>
          <w:shd w:val="clear" w:color="auto" w:fill="FFFFFF"/>
          <w:lang w:val="en-US" w:eastAsia="zh-CN"/>
        </w:rPr>
        <w:t>20033</w:t>
      </w:r>
      <w:r>
        <w:rPr>
          <w:rFonts w:hint="eastAsia" w:ascii="宋体" w:hAnsi="宋体" w:eastAsia="宋体" w:cs="宋体"/>
          <w:i w:val="0"/>
          <w:caps w:val="0"/>
          <w:color w:val="auto"/>
          <w:spacing w:val="0"/>
          <w:sz w:val="21"/>
          <w:szCs w:val="21"/>
          <w:shd w:val="clear" w:color="auto" w:fill="FFFFFF"/>
        </w:rPr>
        <w:t> </w:t>
      </w:r>
      <w:r>
        <w:rPr>
          <w:rFonts w:hint="eastAsia" w:ascii="宋体" w:hAnsi="宋体" w:cs="宋体"/>
          <w:i w:val="0"/>
          <w:caps w:val="0"/>
          <w:color w:val="auto"/>
          <w:spacing w:val="0"/>
          <w:sz w:val="21"/>
          <w:szCs w:val="21"/>
          <w:shd w:val="clear" w:color="auto" w:fill="FFFFFF"/>
          <w:lang w:val="en-US" w:eastAsia="zh-CN"/>
        </w:rPr>
        <w:t>19963109993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i w:val="0"/>
          <w:caps w:val="0"/>
          <w:color w:val="auto"/>
          <w:spacing w:val="0"/>
          <w:sz w:val="21"/>
          <w:szCs w:val="21"/>
          <w:shd w:val="clear" w:color="auto" w:fill="FFFFFF"/>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center"/>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2019年</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12</w:t>
      </w:r>
      <w:r>
        <w:rPr>
          <w:rFonts w:hint="eastAsia" w:ascii="宋体" w:hAnsi="宋体" w:eastAsia="宋体" w:cs="宋体"/>
          <w:i w:val="0"/>
          <w:caps w:val="0"/>
          <w:color w:val="auto"/>
          <w:spacing w:val="0"/>
          <w:sz w:val="21"/>
          <w:szCs w:val="21"/>
          <w:shd w:val="clear" w:color="auto" w:fill="FFFFFF"/>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9"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9"/>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0" w:name="_Toc28280"/>
      <w:r>
        <w:rPr>
          <w:rFonts w:hint="eastAsia" w:ascii="宋体" w:hAnsi="宋体" w:eastAsia="宋体" w:cs="宋体"/>
          <w:bCs/>
          <w:color w:val="auto"/>
          <w:sz w:val="28"/>
          <w:szCs w:val="28"/>
        </w:rPr>
        <w:t>（一）须知前附表</w:t>
      </w:r>
      <w:bookmarkEnd w:id="10"/>
    </w:p>
    <w:tbl>
      <w:tblPr>
        <w:tblStyle w:val="14"/>
        <w:tblW w:w="101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70" w:type="dxa"/>
            <w:vAlign w:val="center"/>
          </w:tcPr>
          <w:p>
            <w:pPr>
              <w:pStyle w:val="1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16"/>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霍山大别山文化旅游发展投资有限公司</w:t>
            </w:r>
            <w:r>
              <w:rPr>
                <w:rFonts w:hint="eastAsia" w:ascii="宋体" w:hAnsi="宋体" w:eastAsia="宋体" w:cs="宋体"/>
                <w:i w:val="0"/>
                <w:caps w:val="0"/>
                <w:color w:val="auto"/>
                <w:spacing w:val="0"/>
                <w:sz w:val="21"/>
                <w:szCs w:val="21"/>
                <w:highlight w:val="none"/>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eastAsia="zh-CN"/>
              </w:rPr>
              <w:t>王先生</w:t>
            </w:r>
          </w:p>
          <w:p>
            <w:pPr>
              <w:adjustRightInd w:val="0"/>
              <w:snapToGrid w:val="0"/>
              <w:spacing w:line="320" w:lineRule="exact"/>
              <w:rPr>
                <w:rFonts w:hint="eastAsia" w:ascii="宋体" w:hAnsi="宋体" w:eastAsia="宋体" w:cs="宋体"/>
                <w:bCs/>
                <w:color w:val="auto"/>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15855223336</w:t>
            </w:r>
            <w:r>
              <w:rPr>
                <w:rFonts w:hint="eastAsia" w:ascii="宋体" w:hAnsi="宋体" w:eastAsia="宋体" w:cs="宋体"/>
                <w:i w:val="0"/>
                <w:caps w:val="0"/>
                <w:color w:val="auto"/>
                <w:spacing w:val="0"/>
                <w:sz w:val="21"/>
                <w:szCs w:val="21"/>
                <w:highlight w:val="none"/>
                <w:shd w:val="clear" w:color="auto" w:fill="FFFFFF"/>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r>
              <w:rPr>
                <w:rFonts w:hint="eastAsia" w:ascii="宋体" w:hAnsi="宋体" w:eastAsia="宋体" w:cs="宋体"/>
                <w:i w:val="0"/>
                <w:caps w:val="0"/>
                <w:color w:val="auto"/>
                <w:spacing w:val="0"/>
                <w:sz w:val="21"/>
                <w:szCs w:val="21"/>
                <w:highlight w:val="none"/>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eastAsia="zh-CN"/>
              </w:rPr>
              <w:t>蔡先生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20033  19963109993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70" w:type="dxa"/>
            <w:vAlign w:val="center"/>
          </w:tcPr>
          <w:p>
            <w:pPr>
              <w:pStyle w:val="1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17"/>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铜锣寨风景区总体规划及一期项目详细规划设计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770" w:type="dxa"/>
            <w:vAlign w:val="center"/>
          </w:tcPr>
          <w:p>
            <w:pPr>
              <w:pStyle w:val="1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17"/>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DBSCG-2019-009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17"/>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eastAsia="zh-CN"/>
              </w:rPr>
              <w:t>玖拾捌万元整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980000.00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2"/>
                <w:sz w:val="21"/>
                <w:szCs w:val="21"/>
                <w:highlight w:val="none"/>
                <w:u w:val="none"/>
                <w:lang w:val="en-US" w:eastAsia="zh-CN" w:bidi="ar-SA"/>
              </w:rPr>
              <w:t>合同签订后付中标价的30％作为开班费用；总规划及详细规划经会商论证通过后付中标价的40％，交付规划正式文本后付中标价的20％，余款待项目正式施工后付清。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霍山大别山文化旅游发展投资有限公司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合同签订之日起二个月。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验收合格之日起</w:t>
            </w:r>
            <w:r>
              <w:rPr>
                <w:rFonts w:hint="eastAsia" w:ascii="宋体" w:hAnsi="宋体" w:eastAsia="宋体" w:cs="宋体"/>
                <w:color w:val="auto"/>
                <w:szCs w:val="21"/>
                <w:highlight w:val="none"/>
                <w:u w:val="single"/>
                <w:lang w:val="zh-CN"/>
              </w:rPr>
              <w:t xml:space="preserve"> </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201</w:t>
            </w:r>
            <w:r>
              <w:rPr>
                <w:rFonts w:hint="eastAsia" w:ascii="宋体" w:hAnsi="宋体" w:cs="宋体"/>
                <w:b/>
                <w:color w:val="auto"/>
                <w:sz w:val="21"/>
                <w:szCs w:val="21"/>
                <w:highlight w:val="none"/>
                <w:u w:val="single"/>
                <w:lang w:val="en-US" w:eastAsia="zh-CN"/>
              </w:rPr>
              <w:t>9</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10</w:t>
            </w:r>
            <w:r>
              <w:rPr>
                <w:rFonts w:hint="eastAsia" w:ascii="宋体" w:hAnsi="宋体" w:eastAsia="宋体" w:cs="宋体"/>
                <w:b/>
                <w:color w:val="auto"/>
                <w:sz w:val="21"/>
                <w:szCs w:val="21"/>
                <w:highlight w:val="none"/>
                <w:u w:val="none"/>
              </w:rPr>
              <w:t>月</w:t>
            </w:r>
            <w:r>
              <w:rPr>
                <w:rFonts w:hint="eastAsia" w:ascii="宋体" w:hAnsi="宋体" w:cs="宋体"/>
                <w:b/>
                <w:color w:val="auto"/>
                <w:sz w:val="21"/>
                <w:szCs w:val="21"/>
                <w:highlight w:val="none"/>
                <w:u w:val="single"/>
                <w:lang w:val="en-US" w:eastAsia="zh-CN"/>
              </w:rPr>
              <w:t>15</w:t>
            </w:r>
            <w:r>
              <w:rPr>
                <w:rFonts w:hint="eastAsia" w:ascii="宋体" w:hAnsi="宋体" w:eastAsia="宋体" w:cs="宋体"/>
                <w:b/>
                <w:color w:val="auto"/>
                <w:sz w:val="21"/>
                <w:szCs w:val="21"/>
                <w:highlight w:val="none"/>
                <w:u w:val="none"/>
              </w:rPr>
              <w:t>日</w:t>
            </w:r>
            <w:r>
              <w:rPr>
                <w:rFonts w:hint="eastAsia" w:ascii="宋体" w:hAnsi="宋体" w:cs="宋体"/>
                <w:b/>
                <w:color w:val="auto"/>
                <w:sz w:val="21"/>
                <w:szCs w:val="21"/>
                <w:highlight w:val="none"/>
                <w:u w:val="single"/>
                <w:lang w:val="en-US" w:eastAsia="zh-CN"/>
              </w:rPr>
              <w:t>9</w:t>
            </w:r>
            <w:r>
              <w:rPr>
                <w:rFonts w:hint="eastAsia" w:ascii="宋体" w:hAnsi="宋体" w:eastAsia="宋体" w:cs="宋体"/>
                <w:b/>
                <w:color w:val="auto"/>
                <w:sz w:val="21"/>
                <w:szCs w:val="21"/>
                <w:highlight w:val="none"/>
                <w:u w:val="none"/>
              </w:rPr>
              <w:t>时</w:t>
            </w:r>
            <w:r>
              <w:rPr>
                <w:rFonts w:hint="eastAsia" w:ascii="宋体" w:hAnsi="宋体" w:cs="宋体"/>
                <w:b/>
                <w:color w:val="auto"/>
                <w:sz w:val="21"/>
                <w:szCs w:val="21"/>
                <w:highlight w:val="none"/>
                <w:u w:val="single"/>
                <w:lang w:val="en-US" w:eastAsia="zh-CN"/>
              </w:rPr>
              <w:t>00</w:t>
            </w:r>
            <w:r>
              <w:rPr>
                <w:rFonts w:hint="eastAsia" w:ascii="宋体" w:hAnsi="宋体" w:eastAsia="宋体" w:cs="宋体"/>
                <w:b/>
                <w:color w:val="auto"/>
                <w:sz w:val="21"/>
                <w:szCs w:val="21"/>
                <w:highlight w:val="none"/>
                <w:u w:val="none"/>
              </w:rPr>
              <w:t>分前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8"/>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7"/>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3"/>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zh-CN" w:eastAsia="zh-CN"/>
                <w14:textFill>
                  <w14:solidFill>
                    <w14:schemeClr w14:val="tx1"/>
                  </w14:solidFill>
                </w14:textFill>
              </w:rPr>
              <w:t>壹万捌仟</w:t>
            </w:r>
            <w:r>
              <w:rPr>
                <w:rFonts w:hint="eastAsia" w:ascii="宋体" w:hAnsi="宋体" w:cs="宋体"/>
                <w:b w:val="0"/>
                <w:bCs/>
                <w:color w:val="000000" w:themeColor="text1"/>
                <w:szCs w:val="21"/>
                <w:highlight w:val="none"/>
                <w:lang w:val="zh-CN"/>
                <w14:textFill>
                  <w14:solidFill>
                    <w14:schemeClr w14:val="tx1"/>
                  </w14:solidFill>
                </w14:textFill>
              </w:rPr>
              <w:t>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2019年</w:t>
            </w:r>
            <w:r>
              <w:rPr>
                <w:rFonts w:hint="eastAsia" w:ascii="宋体" w:hAnsi="宋体" w:cs="宋体"/>
                <w:b/>
                <w:color w:val="000000" w:themeColor="text1"/>
                <w:spacing w:val="-12"/>
                <w:szCs w:val="21"/>
                <w:highlight w:val="none"/>
                <w:lang w:val="en-US" w:eastAsia="zh-CN"/>
                <w14:textFill>
                  <w14:solidFill>
                    <w14:schemeClr w14:val="tx1"/>
                  </w14:solidFill>
                </w14:textFill>
              </w:rPr>
              <w:t>10</w:t>
            </w:r>
            <w:r>
              <w:rPr>
                <w:rFonts w:hint="eastAsia" w:ascii="宋体" w:hAnsi="宋体" w:eastAsia="宋体" w:cs="宋体"/>
                <w:b/>
                <w:color w:val="000000" w:themeColor="text1"/>
                <w:spacing w:val="-12"/>
                <w:szCs w:val="21"/>
                <w:highlight w:val="none"/>
                <w:lang w:val="zh-CN"/>
                <w14:textFill>
                  <w14:solidFill>
                    <w14:schemeClr w14:val="tx1"/>
                  </w14:solidFill>
                </w14:textFill>
              </w:rPr>
              <w:t>月</w:t>
            </w:r>
            <w:r>
              <w:rPr>
                <w:rFonts w:hint="eastAsia" w:ascii="宋体" w:hAnsi="宋体" w:cs="宋体"/>
                <w:b/>
                <w:color w:val="000000" w:themeColor="text1"/>
                <w:spacing w:val="-12"/>
                <w:szCs w:val="21"/>
                <w:highlight w:val="none"/>
                <w:lang w:val="en-US" w:eastAsia="zh-CN"/>
                <w14:textFill>
                  <w14:solidFill>
                    <w14:schemeClr w14:val="tx1"/>
                  </w14:solidFill>
                </w14:textFill>
              </w:rPr>
              <w:t>15</w:t>
            </w:r>
            <w:r>
              <w:rPr>
                <w:rFonts w:hint="eastAsia" w:ascii="宋体" w:hAnsi="宋体" w:eastAsia="宋体" w:cs="宋体"/>
                <w:b/>
                <w:color w:val="000000" w:themeColor="text1"/>
                <w:spacing w:val="-12"/>
                <w:szCs w:val="21"/>
                <w:highlight w:val="none"/>
                <w:lang w:val="zh-CN"/>
                <w14:textFill>
                  <w14:solidFill>
                    <w14:schemeClr w14:val="tx1"/>
                  </w14:solidFill>
                </w14:textFill>
              </w:rPr>
              <w:t>日</w:t>
            </w:r>
            <w:r>
              <w:rPr>
                <w:rFonts w:hint="eastAsia" w:ascii="宋体" w:hAnsi="宋体" w:cs="宋体"/>
                <w:b/>
                <w:color w:val="000000" w:themeColor="text1"/>
                <w:spacing w:val="-12"/>
                <w:szCs w:val="21"/>
                <w:highlight w:val="none"/>
                <w:lang w:val="en-US" w:eastAsia="zh-CN"/>
                <w14:textFill>
                  <w14:solidFill>
                    <w14:schemeClr w14:val="tx1"/>
                  </w14:solidFill>
                </w14:textFill>
              </w:rPr>
              <w:t>9</w:t>
            </w:r>
            <w:r>
              <w:rPr>
                <w:rFonts w:hint="eastAsia" w:ascii="宋体" w:hAnsi="宋体" w:eastAsia="宋体" w:cs="宋体"/>
                <w:b/>
                <w:color w:val="000000" w:themeColor="text1"/>
                <w:spacing w:val="-12"/>
                <w:szCs w:val="21"/>
                <w:highlight w:val="none"/>
                <w:lang w:val="zh-CN"/>
                <w14:textFill>
                  <w14:solidFill>
                    <w14:schemeClr w14:val="tx1"/>
                  </w14:solidFill>
                </w14:textFill>
              </w:rPr>
              <w:t>时</w:t>
            </w:r>
            <w:r>
              <w:rPr>
                <w:rFonts w:hint="eastAsia" w:ascii="宋体" w:hAnsi="宋体" w:eastAsia="宋体" w:cs="宋体"/>
                <w:b/>
                <w:color w:val="000000" w:themeColor="text1"/>
                <w:spacing w:val="-12"/>
                <w:szCs w:val="21"/>
                <w:highlight w:val="none"/>
                <w:lang w:val="en-US" w:eastAsia="zh-CN"/>
                <w14:textFill>
                  <w14:solidFill>
                    <w14:schemeClr w14:val="tx1"/>
                  </w14:solidFill>
                </w14:textFill>
              </w:rPr>
              <w:t>0</w:t>
            </w:r>
            <w:r>
              <w:rPr>
                <w:rFonts w:hint="eastAsia" w:ascii="宋体" w:hAnsi="宋体" w:eastAsia="宋体" w:cs="宋体"/>
                <w:b/>
                <w:color w:val="000000" w:themeColor="text1"/>
                <w:spacing w:val="-12"/>
                <w:szCs w:val="21"/>
                <w:highlight w:val="none"/>
                <w:lang w:val="zh-CN"/>
                <w14:textFill>
                  <w14:solidFill>
                    <w14:schemeClr w14:val="tx1"/>
                  </w14:solidFill>
                </w14:textFill>
              </w:rPr>
              <w:t>0</w:t>
            </w:r>
            <w:r>
              <w:rPr>
                <w:rFonts w:hint="eastAsia" w:ascii="宋体" w:hAnsi="宋体" w:eastAsia="宋体" w:cs="宋体"/>
                <w:b/>
                <w:color w:val="000000" w:themeColor="text1"/>
                <w:spacing w:val="-12"/>
                <w:szCs w:val="21"/>
                <w:highlight w:val="none"/>
                <w14:textFill>
                  <w14:solidFill>
                    <w14:schemeClr w14:val="tx1"/>
                  </w14:solidFill>
                </w14:textFill>
              </w:rPr>
              <w:t>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DBSCG-2019-009</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%，期限：合同签订后</w:t>
            </w:r>
            <w:r>
              <w:rPr>
                <w:rFonts w:hint="eastAsia" w:ascii="宋体" w:hAnsi="宋体" w:eastAsia="宋体" w:cs="宋体"/>
                <w:color w:val="auto"/>
                <w:sz w:val="21"/>
                <w:szCs w:val="21"/>
                <w:highlight w:val="none"/>
                <w:u w:val="single"/>
              </w:rPr>
              <w:t>一年</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18"/>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18"/>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1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18"/>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eastAsia="宋体" w:cs="宋体"/>
                <w:b/>
                <w:bCs/>
                <w:color w:val="auto"/>
                <w:sz w:val="21"/>
                <w:szCs w:val="21"/>
                <w:highlight w:val="none"/>
                <w:lang w:val="en-US" w:eastAsia="zh-CN"/>
              </w:rPr>
              <w:t>霍山县</w:t>
            </w:r>
            <w:r>
              <w:rPr>
                <w:rFonts w:hint="eastAsia" w:ascii="宋体" w:hAnsi="宋体" w:eastAsia="宋体" w:cs="宋体"/>
                <w:b/>
                <w:bCs/>
                <w:color w:val="auto"/>
                <w:sz w:val="21"/>
                <w:szCs w:val="21"/>
                <w:highlight w:val="none"/>
              </w:rPr>
              <w:t>财政局按有关规定处理。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18"/>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1" w:name="_Toc16823"/>
      <w:bookmarkStart w:id="12" w:name="_Toc438107743"/>
      <w:bookmarkStart w:id="13" w:name="_Toc363199267"/>
      <w:bookmarkStart w:id="14" w:name="_Toc216158627"/>
      <w:r>
        <w:rPr>
          <w:rFonts w:hint="eastAsia" w:ascii="宋体" w:hAnsi="宋体" w:eastAsia="宋体" w:cs="宋体"/>
          <w:bCs/>
          <w:color w:val="auto"/>
          <w:sz w:val="28"/>
          <w:szCs w:val="28"/>
        </w:rPr>
        <w:t>（二）供应商资格</w:t>
      </w:r>
      <w:bookmarkEnd w:id="11"/>
    </w:p>
    <w:bookmarkEnd w:id="12"/>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bookmarkStart w:id="15" w:name="_Toc438648662"/>
      <w:bookmarkStart w:id="16" w:name="_Toc12806"/>
      <w:bookmarkStart w:id="17" w:name="_Toc216158625"/>
      <w:bookmarkStart w:id="18" w:name="_Toc363199266"/>
      <w:r>
        <w:rPr>
          <w:rFonts w:hint="eastAsia" w:ascii="宋体" w:hAnsi="宋体" w:eastAsia="宋体" w:cs="宋体"/>
          <w:i w:val="0"/>
          <w:caps w:val="0"/>
          <w:color w:val="auto"/>
          <w:spacing w:val="0"/>
          <w:sz w:val="21"/>
          <w:szCs w:val="21"/>
          <w:shd w:val="clear" w:color="auto" w:fill="FFFFFF"/>
          <w:lang w:val="en-US" w:eastAsia="zh-CN"/>
        </w:rPr>
        <w:t>1、符合《政府采购法》第二十二条要求；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val="en-US" w:eastAsia="zh-CN"/>
        </w:rPr>
        <w:t>具有独立法人资格及</w:t>
      </w:r>
      <w:r>
        <w:rPr>
          <w:rFonts w:hint="eastAsia" w:ascii="宋体" w:hAnsi="宋体" w:eastAsia="宋体" w:cs="宋体"/>
          <w:i w:val="0"/>
          <w:caps w:val="0"/>
          <w:color w:val="auto"/>
          <w:spacing w:val="0"/>
          <w:sz w:val="21"/>
          <w:szCs w:val="21"/>
          <w:shd w:val="clear" w:color="auto" w:fill="FFFFFF"/>
          <w:lang w:val="en-US" w:eastAsia="zh-CN"/>
        </w:rPr>
        <w:t>本次采购</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lang w:val="en-US" w:eastAsia="zh-CN"/>
        </w:rPr>
        <w:t>的供货及售后服务能力；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3、具有旅游规划设计乙级资质；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4、具有编写霍山县5A景区创建规划及辅导方案经验；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5、具有</w:t>
      </w:r>
      <w:r>
        <w:rPr>
          <w:rFonts w:hint="eastAsia" w:ascii="宋体" w:hAnsi="宋体" w:eastAsia="宋体" w:cs="宋体"/>
          <w:i w:val="0"/>
          <w:caps w:val="0"/>
          <w:color w:val="auto"/>
          <w:spacing w:val="0"/>
          <w:sz w:val="21"/>
          <w:szCs w:val="21"/>
          <w:shd w:val="clear" w:color="auto" w:fill="FFFFFF"/>
          <w:lang w:val="en-US" w:eastAsia="zh-CN"/>
        </w:rPr>
        <w:t>旅游规划设计工作有优良合作基础；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lang w:val="en-US" w:eastAsia="zh-CN"/>
        </w:rPr>
        <w:t>、能够指导施工图设计，确保前期规划设计的准确性和有效实施</w:t>
      </w:r>
      <w:r>
        <w:rPr>
          <w:rFonts w:hint="eastAsia" w:ascii="宋体" w:hAnsi="宋体" w:cs="宋体"/>
          <w:i w:val="0"/>
          <w:caps w:val="0"/>
          <w:color w:val="auto"/>
          <w:spacing w:val="0"/>
          <w:sz w:val="21"/>
          <w:szCs w:val="21"/>
          <w:shd w:val="clear" w:color="auto" w:fill="FFFFFF"/>
          <w:lang w:val="en-US" w:eastAsia="zh-CN"/>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lang w:val="en-US" w:eastAsia="zh-CN"/>
        </w:rPr>
        <w:t>、响应人须具有有效营业执照；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lang w:val="en-US" w:eastAsia="zh-CN"/>
        </w:rPr>
        <w:t>、供应商未被列入“信用中国”网站（www.creditchina.gov.cn）记录失信被执行人或重大税收案件当事人名单或政府采购严重违法失信行为记录名单的方可投标；</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5"/>
      <w:bookmarkEnd w:id="16"/>
      <w:bookmarkEnd w:id="17"/>
      <w:bookmarkEnd w:id="18"/>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rPr>
          <w:rFonts w:hint="default"/>
          <w:color w:val="auto"/>
          <w:lang w:val="en-US" w:eastAsia="zh-CN"/>
        </w:rPr>
      </w:pPr>
      <w:r>
        <w:rPr>
          <w:rFonts w:hint="eastAsia" w:ascii="宋体" w:hAnsi="宋体"/>
          <w:color w:val="auto"/>
          <w:sz w:val="21"/>
          <w:szCs w:val="21"/>
          <w:lang w:val="en-US" w:eastAsia="zh-CN"/>
        </w:rPr>
        <w:t>10、无缝对接响应函</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9" w:name="_Toc3875"/>
      <w:r>
        <w:rPr>
          <w:rFonts w:hint="eastAsia" w:ascii="宋体" w:hAnsi="宋体" w:eastAsia="宋体" w:cs="宋体"/>
          <w:bCs/>
          <w:color w:val="auto"/>
          <w:sz w:val="28"/>
          <w:szCs w:val="28"/>
        </w:rPr>
        <w:t>（四）有关定义</w:t>
      </w:r>
      <w:bookmarkEnd w:id="1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1、政府采购监督管理部门：系指</w:t>
      </w:r>
      <w:r>
        <w:rPr>
          <w:rFonts w:hint="eastAsia" w:ascii="宋体" w:hAnsi="宋体" w:eastAsia="宋体" w:cs="宋体"/>
          <w:color w:val="auto"/>
          <w:szCs w:val="21"/>
          <w:u w:val="single"/>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2"/>
        <w:rPr>
          <w:rFonts w:hint="eastAsia"/>
          <w:color w:val="auto"/>
        </w:rPr>
      </w:pPr>
    </w:p>
    <w:bookmarkEnd w:id="13"/>
    <w:bookmarkEnd w:id="14"/>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20" w:name="_Toc26915"/>
      <w:bookmarkStart w:id="21" w:name="_Toc216158630"/>
      <w:r>
        <w:rPr>
          <w:rFonts w:hint="eastAsia" w:ascii="宋体" w:hAnsi="宋体" w:eastAsia="宋体" w:cs="宋体"/>
          <w:bCs/>
          <w:color w:val="auto"/>
          <w:sz w:val="28"/>
          <w:szCs w:val="28"/>
        </w:rPr>
        <w:t>（五）</w:t>
      </w:r>
      <w:bookmarkStart w:id="22" w:name="_Toc471299092"/>
      <w:r>
        <w:rPr>
          <w:rFonts w:hint="eastAsia" w:ascii="宋体" w:hAnsi="宋体" w:eastAsia="宋体" w:cs="宋体"/>
          <w:bCs/>
          <w:color w:val="auto"/>
          <w:sz w:val="28"/>
          <w:szCs w:val="28"/>
        </w:rPr>
        <w:t>投标文件的提交</w:t>
      </w:r>
      <w:bookmarkEnd w:id="20"/>
    </w:p>
    <w:p>
      <w:pPr>
        <w:adjustRightInd w:val="0"/>
        <w:snapToGrid w:val="0"/>
        <w:spacing w:line="360" w:lineRule="exact"/>
        <w:ind w:firstLine="409" w:firstLineChars="195"/>
        <w:rPr>
          <w:rFonts w:hint="eastAsia" w:ascii="宋体" w:hAnsi="宋体" w:cs="宋体"/>
          <w:color w:val="auto"/>
        </w:rPr>
      </w:pPr>
      <w:bookmarkStart w:id="23"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2"/>
      <w:bookmarkEnd w:id="2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eastAsia="zh-CN"/>
        </w:rPr>
        <w:t>根据霍政办〔2016〕27号文件精神，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3"/>
      <w:bookmarkStart w:id="25" w:name="_Toc31686"/>
      <w:r>
        <w:rPr>
          <w:rFonts w:hint="eastAsia" w:ascii="宋体" w:hAnsi="宋体" w:eastAsia="宋体" w:cs="宋体"/>
          <w:bCs/>
          <w:color w:val="auto"/>
          <w:sz w:val="28"/>
          <w:szCs w:val="28"/>
        </w:rPr>
        <w:t>（七）报价响应及答疑</w:t>
      </w:r>
      <w:bookmarkEnd w:id="24"/>
      <w:bookmarkEnd w:id="25"/>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2、响应报价应含有所投货物的税费（如关税、进口货物及其所用原材料、各种国内、外税费等）及包装、运至最终目的地的运输、保险、现场落地、安装调试、检测验收、培训和交付后规定免费维保期内维保</w:t>
      </w:r>
      <w:r>
        <w:rPr>
          <w:rFonts w:hint="eastAsia" w:ascii="宋体" w:hAnsi="宋体"/>
          <w:color w:val="auto"/>
          <w:sz w:val="21"/>
          <w:szCs w:val="21"/>
          <w:lang w:eastAsia="zh-CN"/>
        </w:rPr>
        <w:t>、代理服务费</w:t>
      </w:r>
      <w:r>
        <w:rPr>
          <w:rFonts w:hint="eastAsia" w:ascii="宋体" w:hAnsi="宋体"/>
          <w:color w:val="auto"/>
          <w:sz w:val="21"/>
          <w:szCs w:val="21"/>
        </w:rPr>
        <w:t>等环节所发生的一切费用。响应报价为供应商在响应文件中提出的各项支付金额的总和。只有总价而没有分项报价的响应文件无效。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4"/>
      <w:bookmarkStart w:id="27" w:name="_Toc1065"/>
      <w:r>
        <w:rPr>
          <w:rFonts w:hint="eastAsia" w:ascii="宋体" w:hAnsi="宋体" w:eastAsia="宋体" w:cs="宋体"/>
          <w:bCs/>
          <w:color w:val="auto"/>
          <w:sz w:val="28"/>
          <w:szCs w:val="28"/>
        </w:rPr>
        <w:t>（八）确定成交供应商与签订合同</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5"/>
      <w:bookmarkStart w:id="29" w:name="_Toc382"/>
      <w:r>
        <w:rPr>
          <w:rFonts w:hint="eastAsia" w:ascii="宋体" w:hAnsi="宋体" w:eastAsia="宋体" w:cs="宋体"/>
          <w:bCs/>
          <w:color w:val="auto"/>
          <w:sz w:val="28"/>
          <w:szCs w:val="28"/>
        </w:rPr>
        <w:t>（九）澄清及变更</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222"/>
      <w:bookmarkStart w:id="31" w:name="_Toc471299096"/>
      <w:r>
        <w:rPr>
          <w:rFonts w:hint="eastAsia" w:ascii="宋体" w:hAnsi="宋体" w:eastAsia="宋体" w:cs="宋体"/>
          <w:bCs/>
          <w:color w:val="auto"/>
          <w:sz w:val="28"/>
          <w:szCs w:val="28"/>
        </w:rPr>
        <w:t>（十）验收</w:t>
      </w:r>
      <w:bookmarkEnd w:id="30"/>
      <w:bookmarkEnd w:id="3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2" w:name="_Toc23894"/>
      <w:bookmarkStart w:id="33" w:name="_Toc471299097"/>
      <w:r>
        <w:rPr>
          <w:rFonts w:hint="eastAsia" w:ascii="宋体" w:hAnsi="宋体" w:eastAsia="宋体" w:cs="宋体"/>
          <w:bCs/>
          <w:color w:val="auto"/>
          <w:sz w:val="28"/>
          <w:szCs w:val="28"/>
        </w:rPr>
        <w:t>（十一）质疑</w:t>
      </w:r>
      <w:bookmarkEnd w:id="32"/>
      <w:bookmarkEnd w:id="33"/>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可以在答复期满后15个工作日内向霍山县财政局投诉，</w:t>
      </w:r>
      <w:r>
        <w:rPr>
          <w:rFonts w:hint="eastAsia" w:ascii="宋体" w:hAnsi="宋体" w:cs="宋体"/>
          <w:bCs/>
          <w:color w:val="auto"/>
          <w:szCs w:val="21"/>
        </w:rPr>
        <w:t>同时将投诉书副本送县公共资源交易监督管理局。</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w:t>
      </w:r>
      <w:r>
        <w:rPr>
          <w:rFonts w:hint="eastAsia" w:ascii="宋体" w:hAnsi="宋体"/>
          <w:bCs/>
          <w:color w:val="auto"/>
          <w:sz w:val="21"/>
          <w:szCs w:val="21"/>
        </w:rPr>
        <w:t>财政局予以处理。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rPr>
          <w:rFonts w:hint="eastAsia"/>
          <w:color w:val="auto"/>
          <w:lang w:val="en-US" w:eastAsia="zh-CN"/>
        </w:rPr>
      </w:pPr>
    </w:p>
    <w:p>
      <w:pPr>
        <w:rPr>
          <w:rFonts w:hint="eastAsia" w:ascii="宋体" w:hAnsi="宋体" w:cs="宋体"/>
          <w:b/>
          <w:bCs/>
          <w:caps/>
          <w:color w:val="auto"/>
          <w:sz w:val="28"/>
          <w:szCs w:val="28"/>
          <w:lang w:val="zh-CN"/>
        </w:rPr>
      </w:pPr>
      <w:bookmarkStart w:id="34" w:name="_Toc8300_WPSOffice_Level1"/>
      <w:bookmarkStart w:id="35" w:name="_Toc25805"/>
      <w:r>
        <w:rPr>
          <w:rFonts w:hint="eastAsia" w:ascii="宋体" w:hAnsi="宋体" w:cs="宋体"/>
          <w:b/>
          <w:color w:val="auto"/>
          <w:kern w:val="0"/>
          <w:sz w:val="30"/>
          <w:szCs w:val="30"/>
          <w:lang w:val="en-US" w:eastAsia="zh-CN" w:bidi="ar-SA"/>
        </w:rPr>
        <w:t xml:space="preserve">              </w:t>
      </w:r>
      <w:r>
        <w:rPr>
          <w:rFonts w:hint="eastAsia" w:ascii="宋体" w:hAnsi="宋体" w:eastAsia="宋体" w:cs="宋体"/>
          <w:b/>
          <w:color w:val="auto"/>
          <w:kern w:val="0"/>
          <w:sz w:val="30"/>
          <w:szCs w:val="30"/>
          <w:lang w:val="en-US" w:eastAsia="zh-CN" w:bidi="ar-SA"/>
        </w:rPr>
        <w:t>三、</w:t>
      </w:r>
      <w:bookmarkEnd w:id="21"/>
      <w:bookmarkEnd w:id="34"/>
      <w:bookmarkEnd w:id="35"/>
      <w:bookmarkStart w:id="36" w:name="_Toc12757"/>
      <w:bookmarkStart w:id="37" w:name="_Toc363199273"/>
      <w:r>
        <w:rPr>
          <w:rFonts w:hint="eastAsia" w:ascii="宋体" w:hAnsi="宋体" w:cs="宋体"/>
          <w:b/>
          <w:bCs/>
          <w:caps/>
          <w:color w:val="auto"/>
          <w:sz w:val="28"/>
          <w:szCs w:val="28"/>
          <w:lang w:val="zh-CN"/>
        </w:rPr>
        <w:t>政府采购合同（参考格式）</w:t>
      </w:r>
    </w:p>
    <w:p>
      <w:pPr>
        <w:spacing w:line="400" w:lineRule="exact"/>
        <w:rPr>
          <w:rFonts w:hint="eastAsia" w:ascii="宋体" w:hAnsi="宋体" w:cs="宋体"/>
          <w:color w:val="auto"/>
        </w:rPr>
      </w:pPr>
      <w:r>
        <w:rPr>
          <w:rFonts w:hint="eastAsia" w:ascii="宋体" w:hAnsi="宋体" w:cs="宋体"/>
          <w:color w:val="auto"/>
        </w:rPr>
        <w:t>采购人：</w:t>
      </w:r>
      <w:r>
        <w:rPr>
          <w:rFonts w:hint="eastAsia" w:ascii="宋体" w:hAnsi="宋体" w:cs="宋体"/>
          <w:color w:val="auto"/>
          <w:u w:val="single"/>
        </w:rPr>
        <w:t xml:space="preserve">                                             </w:t>
      </w:r>
      <w:r>
        <w:rPr>
          <w:rFonts w:hint="eastAsia" w:ascii="宋体" w:hAnsi="宋体" w:cs="宋体"/>
          <w:color w:val="auto"/>
        </w:rPr>
        <w:t>　　　　　　　　　　　　　　　　　　　　　　　　　　　　　　　　　　　　　　　　　　　　　　　　　　　　　　　　　　　</w:t>
      </w:r>
      <w:r>
        <w:rPr>
          <w:rFonts w:hint="eastAsia" w:ascii="宋体" w:hAnsi="宋体" w:cs="宋体"/>
          <w:color w:val="auto"/>
          <w:u w:val="single"/>
        </w:rPr>
        <w:t xml:space="preserve">                                                                            　　　   </w:t>
      </w:r>
      <w:r>
        <w:rPr>
          <w:rFonts w:hint="eastAsia" w:ascii="宋体" w:hAnsi="宋体" w:cs="宋体"/>
          <w:color w:val="auto"/>
        </w:rPr>
        <w:t>　　　　　　　　　　　　　　　　　　　　　　　　　　　　　　　　　　　　　　　　　　　　　　　</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hint="eastAsia" w:ascii="宋体" w:hAnsi="宋体" w:cs="宋体"/>
          <w:color w:val="auto"/>
          <w:u w:val="single"/>
        </w:rPr>
      </w:pPr>
      <w:r>
        <w:rPr>
          <w:rFonts w:hint="eastAsia" w:ascii="宋体" w:hAnsi="宋体" w:cs="宋体"/>
          <w:color w:val="auto"/>
        </w:rPr>
        <w:t>供应商：</w:t>
      </w:r>
      <w:r>
        <w:rPr>
          <w:rFonts w:hint="eastAsia" w:ascii="宋体" w:hAnsi="宋体" w:cs="宋体"/>
          <w:color w:val="auto"/>
          <w:u w:val="single"/>
        </w:rPr>
        <w:t xml:space="preserve">                                             </w:t>
      </w:r>
    </w:p>
    <w:p>
      <w:pPr>
        <w:spacing w:line="400" w:lineRule="exact"/>
        <w:rPr>
          <w:rFonts w:hint="eastAsia" w:ascii="宋体" w:hAnsi="宋体" w:cs="宋体"/>
          <w:color w:val="auto"/>
          <w:u w:val="single"/>
        </w:rPr>
      </w:pPr>
      <w:r>
        <w:rPr>
          <w:rFonts w:hint="eastAsia" w:ascii="宋体" w:hAnsi="宋体" w:cs="宋体"/>
          <w:color w:val="auto"/>
        </w:rPr>
        <w:t>一、产品名称、商标、型号、厂家、数量、金额、供货时间等  　　　　　　　　　</w:t>
      </w:r>
    </w:p>
    <w:tbl>
      <w:tblPr>
        <w:tblStyle w:val="14"/>
        <w:tblpPr w:leftFromText="180" w:rightFromText="180" w:vertAnchor="text" w:horzAnchor="margin" w:tblpXSpec="center" w:tblpY="242"/>
        <w:tblW w:w="100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货物名称</w:t>
            </w:r>
          </w:p>
        </w:tc>
        <w:tc>
          <w:tcPr>
            <w:tcW w:w="1245" w:type="dxa"/>
            <w:vAlign w:val="center"/>
          </w:tcPr>
          <w:p>
            <w:pPr>
              <w:spacing w:line="400" w:lineRule="exact"/>
              <w:jc w:val="center"/>
              <w:rPr>
                <w:rFonts w:hint="eastAsia" w:ascii="宋体" w:hAnsi="宋体" w:cs="宋体"/>
                <w:color w:val="auto"/>
              </w:rPr>
            </w:pPr>
            <w:r>
              <w:rPr>
                <w:rFonts w:hint="eastAsia" w:ascii="宋体" w:hAnsi="宋体" w:cs="宋体"/>
                <w:color w:val="auto"/>
              </w:rPr>
              <w:t>牌号商标</w:t>
            </w:r>
          </w:p>
        </w:tc>
        <w:tc>
          <w:tcPr>
            <w:tcW w:w="1629" w:type="dxa"/>
            <w:vAlign w:val="center"/>
          </w:tcPr>
          <w:p>
            <w:pPr>
              <w:spacing w:line="400" w:lineRule="exact"/>
              <w:jc w:val="center"/>
              <w:rPr>
                <w:rFonts w:hint="eastAsia" w:ascii="宋体" w:hAnsi="宋体" w:cs="宋体"/>
                <w:color w:val="auto"/>
              </w:rPr>
            </w:pPr>
            <w:r>
              <w:rPr>
                <w:rFonts w:hint="eastAsia" w:ascii="宋体" w:hAnsi="宋体" w:cs="宋体"/>
                <w:color w:val="auto"/>
              </w:rPr>
              <w:t>规格型号</w:t>
            </w:r>
          </w:p>
        </w:tc>
        <w:tc>
          <w:tcPr>
            <w:tcW w:w="1445" w:type="dxa"/>
            <w:vAlign w:val="center"/>
          </w:tcPr>
          <w:p>
            <w:pPr>
              <w:spacing w:line="400" w:lineRule="exact"/>
              <w:jc w:val="center"/>
              <w:rPr>
                <w:rFonts w:hint="eastAsia" w:ascii="宋体" w:hAnsi="宋体" w:cs="宋体"/>
                <w:color w:val="auto"/>
              </w:rPr>
            </w:pPr>
            <w:r>
              <w:rPr>
                <w:rFonts w:hint="eastAsia" w:ascii="宋体" w:hAnsi="宋体" w:cs="宋体"/>
                <w:color w:val="auto"/>
              </w:rPr>
              <w:t>生产厂家</w:t>
            </w:r>
          </w:p>
        </w:tc>
        <w:tc>
          <w:tcPr>
            <w:tcW w:w="90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计量</w:t>
            </w:r>
          </w:p>
          <w:p>
            <w:pPr>
              <w:spacing w:line="400" w:lineRule="exact"/>
              <w:jc w:val="center"/>
              <w:rPr>
                <w:rFonts w:hint="eastAsia" w:ascii="宋体" w:hAnsi="宋体" w:cs="宋体"/>
                <w:color w:val="auto"/>
                <w:spacing w:val="-20"/>
              </w:rPr>
            </w:pPr>
            <w:r>
              <w:rPr>
                <w:rFonts w:hint="eastAsia" w:ascii="宋体" w:hAnsi="宋体" w:cs="宋体"/>
                <w:color w:val="auto"/>
                <w:spacing w:val="-20"/>
              </w:rPr>
              <w:t>单位</w:t>
            </w:r>
          </w:p>
        </w:tc>
        <w:tc>
          <w:tcPr>
            <w:tcW w:w="527"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数量</w:t>
            </w:r>
          </w:p>
        </w:tc>
        <w:tc>
          <w:tcPr>
            <w:tcW w:w="84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单 价</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1264"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小 计</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948"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供 货</w:t>
            </w:r>
          </w:p>
          <w:p>
            <w:pPr>
              <w:spacing w:line="400" w:lineRule="exact"/>
              <w:jc w:val="center"/>
              <w:rPr>
                <w:rFonts w:hint="eastAsia" w:ascii="宋体" w:hAnsi="宋体" w:cs="宋体"/>
                <w:color w:val="auto"/>
                <w:spacing w:val="-20"/>
              </w:rPr>
            </w:pPr>
            <w:r>
              <w:rPr>
                <w:rFonts w:hint="eastAsia" w:ascii="宋体" w:hAnsi="宋体" w:cs="宋体"/>
                <w:color w:val="auto"/>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　　　　　　</w:t>
            </w:r>
          </w:p>
        </w:tc>
        <w:tc>
          <w:tcPr>
            <w:tcW w:w="1245" w:type="dxa"/>
            <w:vAlign w:val="center"/>
          </w:tcPr>
          <w:p>
            <w:pPr>
              <w:spacing w:line="400" w:lineRule="exact"/>
              <w:jc w:val="center"/>
              <w:rPr>
                <w:rFonts w:hint="eastAsia" w:ascii="宋体" w:hAnsi="宋体" w:cs="宋体"/>
                <w:color w:val="auto"/>
              </w:rPr>
            </w:pPr>
          </w:p>
        </w:tc>
        <w:tc>
          <w:tcPr>
            <w:tcW w:w="1629" w:type="dxa"/>
            <w:vAlign w:val="center"/>
          </w:tcPr>
          <w:p>
            <w:pPr>
              <w:spacing w:line="400" w:lineRule="exact"/>
              <w:jc w:val="center"/>
              <w:rPr>
                <w:rFonts w:hint="eastAsia" w:ascii="宋体" w:hAnsi="宋体" w:cs="宋体"/>
                <w:color w:val="auto"/>
              </w:rPr>
            </w:pPr>
          </w:p>
        </w:tc>
        <w:tc>
          <w:tcPr>
            <w:tcW w:w="1445" w:type="dxa"/>
            <w:vAlign w:val="center"/>
          </w:tcPr>
          <w:p>
            <w:pPr>
              <w:spacing w:line="400" w:lineRule="exact"/>
              <w:jc w:val="center"/>
              <w:rPr>
                <w:rFonts w:hint="eastAsia" w:ascii="宋体" w:hAnsi="宋体" w:cs="宋体"/>
                <w:color w:val="auto"/>
              </w:rPr>
            </w:pPr>
          </w:p>
        </w:tc>
        <w:tc>
          <w:tcPr>
            <w:tcW w:w="903" w:type="dxa"/>
            <w:vAlign w:val="center"/>
          </w:tcPr>
          <w:p>
            <w:pPr>
              <w:spacing w:line="400" w:lineRule="exact"/>
              <w:jc w:val="center"/>
              <w:rPr>
                <w:rFonts w:hint="eastAsia" w:ascii="宋体" w:hAnsi="宋体" w:cs="宋体"/>
                <w:color w:val="auto"/>
              </w:rPr>
            </w:pPr>
          </w:p>
        </w:tc>
        <w:tc>
          <w:tcPr>
            <w:tcW w:w="527" w:type="dxa"/>
            <w:vAlign w:val="center"/>
          </w:tcPr>
          <w:p>
            <w:pPr>
              <w:spacing w:line="400" w:lineRule="exact"/>
              <w:jc w:val="center"/>
              <w:rPr>
                <w:rFonts w:hint="eastAsia" w:ascii="宋体" w:hAnsi="宋体" w:cs="宋体"/>
                <w:color w:val="auto"/>
              </w:rPr>
            </w:pPr>
          </w:p>
        </w:tc>
        <w:tc>
          <w:tcPr>
            <w:tcW w:w="843" w:type="dxa"/>
            <w:vAlign w:val="center"/>
          </w:tcPr>
          <w:p>
            <w:pPr>
              <w:spacing w:line="400" w:lineRule="exact"/>
              <w:jc w:val="center"/>
              <w:rPr>
                <w:rFonts w:hint="eastAsia" w:ascii="宋体" w:hAnsi="宋体" w:cs="宋体"/>
                <w:color w:val="auto"/>
              </w:rPr>
            </w:pPr>
          </w:p>
        </w:tc>
        <w:tc>
          <w:tcPr>
            <w:tcW w:w="1264" w:type="dxa"/>
            <w:vAlign w:val="center"/>
          </w:tcPr>
          <w:p>
            <w:pPr>
              <w:spacing w:line="400" w:lineRule="exact"/>
              <w:jc w:val="center"/>
              <w:rPr>
                <w:rFonts w:hint="eastAsia" w:ascii="宋体" w:hAnsi="宋体" w:cs="宋体"/>
                <w:color w:val="auto"/>
              </w:rPr>
            </w:pPr>
          </w:p>
        </w:tc>
        <w:tc>
          <w:tcPr>
            <w:tcW w:w="948" w:type="dxa"/>
            <w:vAlign w:val="center"/>
          </w:tcPr>
          <w:p>
            <w:pPr>
              <w:spacing w:line="400" w:lineRule="exact"/>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1207" w:type="dxa"/>
            <w:vAlign w:val="top"/>
          </w:tcPr>
          <w:p>
            <w:pPr>
              <w:spacing w:line="400" w:lineRule="exact"/>
              <w:rPr>
                <w:rFonts w:hint="eastAsia" w:ascii="宋体" w:hAnsi="宋体" w:cs="宋体"/>
                <w:color w:val="auto"/>
              </w:rPr>
            </w:pPr>
          </w:p>
        </w:tc>
        <w:tc>
          <w:tcPr>
            <w:tcW w:w="1245" w:type="dxa"/>
            <w:vAlign w:val="top"/>
          </w:tcPr>
          <w:p>
            <w:pPr>
              <w:spacing w:line="400" w:lineRule="exact"/>
              <w:rPr>
                <w:rFonts w:hint="eastAsia" w:ascii="宋体" w:hAnsi="宋体" w:cs="宋体"/>
                <w:color w:val="auto"/>
              </w:rPr>
            </w:pPr>
          </w:p>
        </w:tc>
        <w:tc>
          <w:tcPr>
            <w:tcW w:w="1629" w:type="dxa"/>
            <w:vAlign w:val="top"/>
          </w:tcPr>
          <w:p>
            <w:pPr>
              <w:spacing w:line="400" w:lineRule="exact"/>
              <w:rPr>
                <w:rFonts w:hint="eastAsia" w:ascii="宋体" w:hAnsi="宋体" w:cs="宋体"/>
                <w:color w:val="auto"/>
              </w:rPr>
            </w:pPr>
          </w:p>
        </w:tc>
        <w:tc>
          <w:tcPr>
            <w:tcW w:w="1445" w:type="dxa"/>
            <w:vAlign w:val="top"/>
          </w:tcPr>
          <w:p>
            <w:pPr>
              <w:spacing w:line="400" w:lineRule="exact"/>
              <w:rPr>
                <w:rFonts w:hint="eastAsia" w:ascii="宋体" w:hAnsi="宋体" w:cs="宋体"/>
                <w:color w:val="auto"/>
              </w:rPr>
            </w:pPr>
          </w:p>
        </w:tc>
        <w:tc>
          <w:tcPr>
            <w:tcW w:w="903" w:type="dxa"/>
            <w:vAlign w:val="top"/>
          </w:tcPr>
          <w:p>
            <w:pPr>
              <w:spacing w:line="400" w:lineRule="exact"/>
              <w:rPr>
                <w:rFonts w:hint="eastAsia" w:ascii="宋体" w:hAnsi="宋体" w:cs="宋体"/>
                <w:color w:val="auto"/>
              </w:rPr>
            </w:pPr>
          </w:p>
        </w:tc>
        <w:tc>
          <w:tcPr>
            <w:tcW w:w="527" w:type="dxa"/>
            <w:vAlign w:val="top"/>
          </w:tcPr>
          <w:p>
            <w:pPr>
              <w:spacing w:line="400" w:lineRule="exact"/>
              <w:rPr>
                <w:rFonts w:hint="eastAsia" w:ascii="宋体" w:hAnsi="宋体" w:cs="宋体"/>
                <w:color w:val="auto"/>
              </w:rPr>
            </w:pPr>
          </w:p>
        </w:tc>
        <w:tc>
          <w:tcPr>
            <w:tcW w:w="843" w:type="dxa"/>
            <w:vAlign w:val="top"/>
          </w:tcPr>
          <w:p>
            <w:pPr>
              <w:spacing w:line="400" w:lineRule="exact"/>
              <w:rPr>
                <w:rFonts w:hint="eastAsia" w:ascii="宋体" w:hAnsi="宋体" w:cs="宋体"/>
                <w:color w:val="auto"/>
              </w:rPr>
            </w:pPr>
          </w:p>
        </w:tc>
        <w:tc>
          <w:tcPr>
            <w:tcW w:w="1264" w:type="dxa"/>
            <w:vAlign w:val="top"/>
          </w:tcPr>
          <w:p>
            <w:pPr>
              <w:spacing w:line="400" w:lineRule="exact"/>
              <w:rPr>
                <w:rFonts w:hint="eastAsia" w:ascii="宋体" w:hAnsi="宋体" w:cs="宋体"/>
                <w:color w:val="auto"/>
              </w:rPr>
            </w:pPr>
          </w:p>
        </w:tc>
        <w:tc>
          <w:tcPr>
            <w:tcW w:w="948" w:type="dxa"/>
            <w:vAlign w:val="top"/>
          </w:tcPr>
          <w:p>
            <w:pPr>
              <w:spacing w:line="400" w:lineRule="exact"/>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10011" w:type="dxa"/>
            <w:gridSpan w:val="9"/>
            <w:vAlign w:val="center"/>
          </w:tcPr>
          <w:p>
            <w:pPr>
              <w:spacing w:line="400" w:lineRule="exact"/>
              <w:rPr>
                <w:rFonts w:hint="eastAsia" w:ascii="宋体" w:hAnsi="宋体" w:cs="宋体"/>
                <w:color w:val="auto"/>
              </w:rPr>
            </w:pPr>
            <w:r>
              <w:rPr>
                <w:rFonts w:hint="eastAsia" w:ascii="宋体" w:hAnsi="宋体" w:cs="宋体"/>
                <w:color w:val="auto"/>
              </w:rPr>
              <w:t>合计人民币金额（大写）：                                     （￥             元）</w:t>
            </w:r>
          </w:p>
        </w:tc>
      </w:tr>
    </w:tbl>
    <w:p>
      <w:pPr>
        <w:spacing w:line="400" w:lineRule="exact"/>
        <w:jc w:val="center"/>
        <w:rPr>
          <w:rFonts w:hint="eastAsia" w:ascii="宋体" w:hAnsi="宋体" w:cs="宋体"/>
          <w:color w:val="auto"/>
        </w:rPr>
      </w:pPr>
      <w:r>
        <w:rPr>
          <w:rFonts w:hint="eastAsia" w:ascii="宋体" w:hAnsi="宋体" w:cs="宋体"/>
          <w:color w:val="auto"/>
        </w:rPr>
        <w:t xml:space="preserve">                                                （注：空格如不够用可以另接）</w:t>
      </w:r>
    </w:p>
    <w:p>
      <w:pPr>
        <w:spacing w:line="400" w:lineRule="exact"/>
        <w:rPr>
          <w:rFonts w:hint="eastAsia" w:ascii="宋体" w:hAnsi="宋体" w:cs="宋体"/>
          <w:color w:val="auto"/>
        </w:rPr>
      </w:pPr>
      <w:r>
        <w:rPr>
          <w:rFonts w:hint="eastAsia" w:ascii="宋体" w:hAnsi="宋体" w:cs="宋体"/>
          <w:color w:val="auto"/>
        </w:rPr>
        <w:t xml:space="preserve">二、质量要求技术标准、供方对质量负责的条件和期限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三、交（提）货地点、方式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四、运输方式及到达站港和费用负担</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五、合理损耗及计算方法</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tabs>
          <w:tab w:val="left" w:pos="9900"/>
        </w:tabs>
        <w:spacing w:line="400" w:lineRule="exact"/>
        <w:rPr>
          <w:rFonts w:hint="eastAsia" w:ascii="宋体" w:hAnsi="宋体" w:cs="宋体"/>
          <w:color w:val="auto"/>
        </w:rPr>
      </w:pPr>
      <w:r>
        <w:rPr>
          <w:rFonts w:hint="eastAsia" w:ascii="宋体" w:hAnsi="宋体" w:cs="宋体"/>
          <w:color w:val="auto"/>
        </w:rPr>
        <w:t>六、包装标准、包装物的供应与回收</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七、验收标准、方法及提出异议期限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八、随机备品、配件工具数量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九、结算方式及期限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38" w:name="_Toc28951_WPSOffice_Level1"/>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w:t>
      </w:r>
      <w:bookmarkEnd w:id="38"/>
      <w:r>
        <w:rPr>
          <w:rFonts w:hint="eastAsia" w:ascii="宋体" w:hAnsi="宋体" w:cs="宋体"/>
          <w:color w:val="auto"/>
        </w:rPr>
        <w:t>、如</w:t>
      </w:r>
      <w:bookmarkStart w:id="39" w:name="_Toc19363_WPSOffice_Level1"/>
      <w:r>
        <w:rPr>
          <w:rFonts w:hint="eastAsia" w:ascii="宋体" w:hAnsi="宋体" w:cs="宋体"/>
          <w:color w:val="auto"/>
        </w:rPr>
        <w:t>需提供担</w:t>
      </w:r>
      <w:bookmarkEnd w:id="39"/>
      <w:r>
        <w:rPr>
          <w:rFonts w:hint="eastAsia" w:ascii="宋体" w:hAnsi="宋体" w:cs="宋体"/>
          <w:color w:val="auto"/>
        </w:rPr>
        <w:t>保、另立合同担保书、作为本合同附件</w:t>
      </w:r>
    </w:p>
    <w:p>
      <w:pPr>
        <w:spacing w:line="400" w:lineRule="exact"/>
        <w:rPr>
          <w:rFonts w:hint="eastAsia" w:ascii="宋体" w:hAnsi="宋体" w:cs="宋体"/>
          <w:color w:val="auto"/>
          <w:u w:val="single"/>
        </w:rPr>
      </w:pPr>
      <w:bookmarkStart w:id="40" w:name="_Toc21814_WPSOffice_Level1"/>
      <w:r>
        <w:rPr>
          <w:rFonts w:hint="eastAsia" w:ascii="宋体" w:hAnsi="宋体" w:cs="宋体"/>
          <w:color w:val="auto"/>
          <w:u w:val="single"/>
        </w:rPr>
        <w:t xml:space="preserve">         </w:t>
      </w:r>
      <w:bookmarkEnd w:id="40"/>
      <w:r>
        <w:rPr>
          <w:rFonts w:hint="eastAsia" w:ascii="宋体" w:hAnsi="宋体" w:cs="宋体"/>
          <w:color w:val="auto"/>
          <w:u w:val="single"/>
        </w:rPr>
        <w:t xml:space="preserve">    </w:t>
      </w:r>
      <w:bookmarkStart w:id="41" w:name="_Toc16327_WPSOffice_Level1"/>
      <w:r>
        <w:rPr>
          <w:rFonts w:hint="eastAsia" w:ascii="宋体" w:hAnsi="宋体" w:cs="宋体"/>
          <w:color w:val="auto"/>
          <w:u w:val="single"/>
        </w:rPr>
        <w:t xml:space="preserve">          </w:t>
      </w:r>
      <w:bookmarkEnd w:id="41"/>
      <w:r>
        <w:rPr>
          <w:rFonts w:hint="eastAsia" w:ascii="宋体" w:hAnsi="宋体" w:cs="宋体"/>
          <w:color w:val="auto"/>
          <w:u w:val="single"/>
        </w:rPr>
        <w:t xml:space="preserve">  </w:t>
      </w:r>
      <w:bookmarkStart w:id="42" w:name="_Toc12651_WPSOffice_Level1"/>
      <w:r>
        <w:rPr>
          <w:rFonts w:hint="eastAsia" w:ascii="宋体" w:hAnsi="宋体" w:cs="宋体"/>
          <w:color w:val="auto"/>
          <w:u w:val="single"/>
        </w:rPr>
        <w:t xml:space="preserve">            </w:t>
      </w:r>
      <w:bookmarkEnd w:id="42"/>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十一、违约责任</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43" w:name="_Toc13032_WPSOffice_Level1"/>
      <w:r>
        <w:rPr>
          <w:rFonts w:hint="eastAsia" w:ascii="宋体" w:hAnsi="宋体" w:cs="宋体"/>
          <w:color w:val="auto"/>
          <w:u w:val="single"/>
        </w:rPr>
        <w:t xml:space="preserve">    </w:t>
      </w:r>
      <w:bookmarkEnd w:id="43"/>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十二、解决合同纠纷的方式（1）向</w:t>
      </w:r>
      <w:r>
        <w:rPr>
          <w:rFonts w:hint="eastAsia" w:ascii="宋体" w:hAnsi="宋体" w:cs="宋体"/>
          <w:color w:val="auto"/>
          <w:u w:val="single"/>
        </w:rPr>
        <w:t xml:space="preserve">                       </w:t>
      </w:r>
      <w:r>
        <w:rPr>
          <w:rFonts w:hint="eastAsia" w:ascii="宋体" w:hAnsi="宋体" w:cs="宋体"/>
          <w:color w:val="auto"/>
        </w:rPr>
        <w:t>经济合同仲裁机关申请仲裁；</w:t>
      </w:r>
    </w:p>
    <w:p>
      <w:pPr>
        <w:spacing w:line="400" w:lineRule="exact"/>
        <w:ind w:firstLine="2520" w:firstLineChars="1200"/>
        <w:rPr>
          <w:rFonts w:hint="eastAsia" w:ascii="宋体" w:hAnsi="宋体" w:cs="宋体"/>
          <w:color w:val="auto"/>
        </w:rPr>
      </w:pPr>
      <w:r>
        <w:rPr>
          <w:rFonts w:hint="eastAsia" w:ascii="宋体" w:hAnsi="宋体" w:cs="宋体"/>
          <w:color w:val="auto"/>
        </w:rPr>
        <w:t>（2）向</w:t>
      </w:r>
      <w:r>
        <w:rPr>
          <w:rFonts w:hint="eastAsia" w:ascii="宋体" w:hAnsi="宋体" w:cs="宋体"/>
          <w:color w:val="auto"/>
          <w:u w:val="single"/>
        </w:rPr>
        <w:t xml:space="preserve">                          </w:t>
      </w:r>
      <w:r>
        <w:rPr>
          <w:rFonts w:hint="eastAsia" w:ascii="宋体" w:hAnsi="宋体" w:cs="宋体"/>
          <w:color w:val="auto"/>
        </w:rPr>
        <w:t>人民法院起诉。</w:t>
      </w:r>
    </w:p>
    <w:p>
      <w:pPr>
        <w:spacing w:line="400" w:lineRule="exact"/>
        <w:rPr>
          <w:rFonts w:hint="eastAsia" w:ascii="宋体" w:hAnsi="宋体" w:cs="宋体"/>
          <w:color w:val="auto"/>
        </w:rPr>
      </w:pPr>
      <w:r>
        <w:rPr>
          <w:rFonts w:hint="eastAsia" w:ascii="宋体" w:hAnsi="宋体" w:cs="宋体"/>
          <w:color w:val="auto"/>
        </w:rPr>
        <w:t xml:space="preserve">十三、其它约定事项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u w:val="single"/>
        </w:rPr>
      </w:pPr>
      <w:r>
        <w:rPr>
          <w:rFonts w:hint="eastAsia" w:ascii="宋体" w:hAnsi="宋体" w:cs="宋体"/>
          <w:color w:val="auto"/>
        </w:rPr>
        <w:t xml:space="preserve">十四、本合同须采购人、供应商双方签字、盖章。 </w:t>
      </w:r>
    </w:p>
    <w:p>
      <w:pPr>
        <w:spacing w:line="400" w:lineRule="exact"/>
        <w:rPr>
          <w:rFonts w:hint="eastAsia" w:ascii="宋体" w:hAnsi="宋体" w:cs="宋体"/>
          <w:color w:val="auto"/>
          <w:u w:val="single"/>
        </w:rPr>
      </w:pPr>
      <w:r>
        <w:rPr>
          <w:rFonts w:hint="eastAsia" w:ascii="宋体" w:hAnsi="宋体" w:cs="宋体"/>
          <w:color w:val="auto"/>
        </w:rPr>
        <w:t>十五、本合同一式贰份，采购人（报账用）、供应商各一份。</w:t>
      </w:r>
    </w:p>
    <w:p>
      <w:pPr>
        <w:spacing w:line="400" w:lineRule="exact"/>
        <w:rPr>
          <w:rFonts w:hint="eastAsia" w:ascii="宋体" w:hAnsi="宋体" w:cs="宋体"/>
          <w:color w:val="auto"/>
          <w:u w:val="single"/>
        </w:rPr>
      </w:pPr>
      <w:r>
        <w:rPr>
          <w:rFonts w:hint="eastAsia" w:ascii="宋体" w:hAnsi="宋体" w:cs="宋体"/>
          <w:color w:val="auto"/>
        </w:rPr>
        <w:t>十六、本合同有效期限为：</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日至</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rPr>
          <w:rFonts w:hint="eastAsia" w:ascii="宋体" w:hAnsi="宋体" w:cs="宋体"/>
          <w:color w:val="auto"/>
        </w:rPr>
      </w:pPr>
      <w:r>
        <w:rPr>
          <w:rFonts w:hint="eastAsia" w:ascii="宋体" w:hAnsi="宋体" w:cs="宋体"/>
          <w:color w:val="auto"/>
        </w:rPr>
        <w:t>采购人（签章）：                            供应商（签章）：</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采购人代表（签字）：                        供应商代表（签字）：</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联系电话：                                 联系电话：</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 xml:space="preserve">开户银行及户名：                           开户银行及户名：           </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帐    号：                                 帐    号：</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ind w:left="-2" w:leftChars="-1" w:firstLine="4200" w:firstLineChars="2000"/>
        <w:rPr>
          <w:rFonts w:hint="eastAsia" w:ascii="宋体" w:hAnsi="宋体" w:cs="宋体"/>
          <w:color w:val="auto"/>
        </w:rPr>
      </w:pPr>
      <w:r>
        <w:rPr>
          <w:rFonts w:hint="eastAsia" w:ascii="宋体" w:hAnsi="宋体" w:cs="宋体"/>
          <w:color w:val="auto"/>
        </w:rPr>
        <w:t>签定时间：</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pStyle w:val="2"/>
        <w:rPr>
          <w:rFonts w:hint="eastAsia"/>
          <w:color w:val="auto"/>
        </w:rPr>
      </w:pPr>
    </w:p>
    <w:p>
      <w:pPr>
        <w:pStyle w:val="2"/>
        <w:ind w:firstLine="0"/>
        <w:rPr>
          <w:rFonts w:hint="eastAsia"/>
          <w:color w:val="auto"/>
        </w:rPr>
      </w:pPr>
    </w:p>
    <w:p>
      <w:pPr>
        <w:pStyle w:val="5"/>
        <w:numPr>
          <w:ilvl w:val="0"/>
          <w:numId w:val="0"/>
        </w:numPr>
        <w:snapToGrid w:val="0"/>
        <w:spacing w:before="0" w:after="0" w:line="400" w:lineRule="exact"/>
        <w:jc w:val="center"/>
        <w:rPr>
          <w:rFonts w:hint="eastAsia"/>
          <w:color w:val="auto"/>
          <w:lang w:val="en-US" w:eastAsia="zh-CN"/>
        </w:rPr>
      </w:pPr>
    </w:p>
    <w:p>
      <w:pPr>
        <w:numPr>
          <w:ilvl w:val="0"/>
          <w:numId w:val="0"/>
        </w:numPr>
        <w:rPr>
          <w:rFonts w:hint="eastAsia"/>
          <w:color w:val="auto"/>
          <w:lang w:val="en-US" w:eastAsia="zh-CN"/>
        </w:rPr>
      </w:pPr>
    </w:p>
    <w:p>
      <w:pPr>
        <w:numPr>
          <w:ilvl w:val="0"/>
          <w:numId w:val="0"/>
        </w:numPr>
        <w:rPr>
          <w:rFonts w:hint="eastAsia"/>
          <w:color w:val="auto"/>
          <w:lang w:val="en-US" w:eastAsia="zh-CN"/>
        </w:rPr>
      </w:pPr>
    </w:p>
    <w:p>
      <w:pPr>
        <w:pStyle w:val="19"/>
        <w:snapToGrid w:val="0"/>
        <w:spacing w:before="0" w:after="0" w:line="320" w:lineRule="exact"/>
        <w:jc w:val="both"/>
        <w:rPr>
          <w:rFonts w:hint="eastAsia" w:ascii="宋体" w:hAnsi="宋体" w:eastAsia="宋体" w:cs="宋体"/>
          <w:b/>
          <w:color w:val="auto"/>
          <w:kern w:val="0"/>
          <w:sz w:val="32"/>
          <w:szCs w:val="32"/>
          <w:lang w:val="en-US" w:eastAsia="zh-CN" w:bidi="ar-SA"/>
        </w:rPr>
      </w:pPr>
    </w:p>
    <w:p>
      <w:pPr>
        <w:rPr>
          <w:rFonts w:hint="eastAsia" w:cs="宋体"/>
          <w:b/>
          <w:color w:val="auto"/>
          <w:kern w:val="0"/>
          <w:sz w:val="32"/>
          <w:szCs w:val="32"/>
          <w:lang w:val="en-US" w:eastAsia="zh-CN" w:bidi="ar-SA"/>
        </w:rPr>
      </w:pPr>
      <w:bookmarkStart w:id="44" w:name="_Toc16484_WPSOffice_Level1"/>
      <w:r>
        <w:rPr>
          <w:rFonts w:hint="eastAsia" w:cs="宋体"/>
          <w:b/>
          <w:color w:val="auto"/>
          <w:kern w:val="0"/>
          <w:sz w:val="32"/>
          <w:szCs w:val="32"/>
          <w:lang w:val="en-US" w:eastAsia="zh-CN" w:bidi="ar-SA"/>
        </w:rPr>
        <w:br w:type="page"/>
      </w:r>
    </w:p>
    <w:p>
      <w:pPr>
        <w:pStyle w:val="19"/>
        <w:numPr>
          <w:ilvl w:val="0"/>
          <w:numId w:val="0"/>
        </w:numPr>
        <w:snapToGrid w:val="0"/>
        <w:spacing w:before="0" w:after="0" w:line="320" w:lineRule="exact"/>
        <w:jc w:val="center"/>
        <w:rPr>
          <w:rFonts w:hint="eastAsia" w:ascii="宋体" w:hAnsi="宋体" w:eastAsia="宋体" w:cs="宋体"/>
          <w:b/>
          <w:color w:val="auto"/>
          <w:kern w:val="0"/>
          <w:sz w:val="32"/>
          <w:szCs w:val="32"/>
          <w:lang w:val="en-US" w:eastAsia="zh-CN" w:bidi="ar-SA"/>
        </w:rPr>
      </w:pPr>
      <w:r>
        <w:rPr>
          <w:rFonts w:hint="eastAsia" w:cs="宋体"/>
          <w:b/>
          <w:color w:val="auto"/>
          <w:kern w:val="0"/>
          <w:sz w:val="32"/>
          <w:szCs w:val="32"/>
          <w:lang w:val="en-US" w:eastAsia="zh-CN" w:bidi="ar-SA"/>
        </w:rPr>
        <w:t>四、</w:t>
      </w:r>
      <w:r>
        <w:rPr>
          <w:rFonts w:hint="eastAsia" w:ascii="宋体" w:hAnsi="宋体" w:eastAsia="宋体" w:cs="宋体"/>
          <w:b/>
          <w:color w:val="auto"/>
          <w:kern w:val="0"/>
          <w:sz w:val="32"/>
          <w:szCs w:val="32"/>
          <w:lang w:val="en-US" w:eastAsia="zh-CN" w:bidi="ar-SA"/>
        </w:rPr>
        <w:t>采购需求</w:t>
      </w:r>
      <w:bookmarkEnd w:id="36"/>
      <w:bookmarkEnd w:id="44"/>
    </w:p>
    <w:p>
      <w:pPr>
        <w:spacing w:before="156" w:beforeLines="50" w:after="156" w:afterLines="50" w:line="360" w:lineRule="auto"/>
        <w:rPr>
          <w:sz w:val="24"/>
          <w:szCs w:val="24"/>
        </w:rPr>
      </w:pPr>
      <w:r>
        <w:rPr>
          <w:rFonts w:hint="eastAsia" w:ascii="黑体" w:hAnsi="黑体" w:eastAsia="黑体"/>
          <w:b/>
          <w:sz w:val="24"/>
          <w:szCs w:val="24"/>
        </w:rPr>
        <w:t>一、规划目标</w:t>
      </w:r>
    </w:p>
    <w:p>
      <w:pPr>
        <w:spacing w:line="400" w:lineRule="exact"/>
        <w:rPr>
          <w:rFonts w:hint="eastAsia" w:ascii="宋体" w:hAnsi="宋体" w:cs="宋体"/>
          <w:color w:val="auto"/>
        </w:rPr>
      </w:pPr>
      <w:r>
        <w:rPr>
          <w:rFonts w:hint="eastAsia" w:ascii="宋体" w:hAnsi="宋体" w:cs="宋体"/>
          <w:color w:val="auto"/>
        </w:rPr>
        <w:t>以本次国债项目投资建设为契机、为要求，结合铜锣寨风景名胜区总体规划的要求，对风景名胜区其中的铜锣寨旅游区进行总体规划与设计，一是对整个旅游区未来发展定位、蓝图、重点开发区块规划与经营性项目导入、未来道路与游线、相关配套服务设施、基础设施等进行统一谋划，相关设施要求达到5A级景区标准，同时明确旅游区容量与用地范围，明确旅游区资源与生态保护范围，明确旅游区对外形象与营销主题，明确旅游区投资与管理模式；二是对列入一期开发与建设的服务设施项目（为本次国债项目建设内容）进行详细规划与设计，包括旅游区未来出入口设计（两主两次）、主要游线与标识标牌设计、观景点及休憩设施设计、解说系统设计、旅游厕所设计、旅游服务点设计等，指导后期施工设计与建设；另外配合招商和游客服务接待需要，对开发的景点（如杜鹃湖、迷宫景点）、经营性项目（如滑索、玻璃栈台）和接待设施项目（如营地或示范性民宿、餐厅等）进行单独设计。</w:t>
      </w:r>
    </w:p>
    <w:p>
      <w:pPr>
        <w:spacing w:line="400" w:lineRule="exact"/>
        <w:rPr>
          <w:rFonts w:hint="eastAsia" w:ascii="宋体" w:hAnsi="宋体" w:cs="宋体"/>
          <w:color w:val="auto"/>
        </w:rPr>
      </w:pPr>
      <w:r>
        <w:rPr>
          <w:rFonts w:hint="eastAsia" w:ascii="宋体" w:hAnsi="宋体" w:cs="宋体"/>
          <w:color w:val="auto"/>
        </w:rPr>
        <w:t>通过上述规划与设计，一是全面提升旅游区的状貌与服务功能，夯实整个旅游区发展基础，成为一个优秀的、让人称道的4A景区，成为带动辐射整个西南部的中心景区！二是通过规划全面梳理、优化利用好整个旅游区空间，明确未来开发用地，明确景区内部村庄搬迁与土地流转范围，便于后期项目招商与经营。</w:t>
      </w:r>
    </w:p>
    <w:p>
      <w:pPr>
        <w:spacing w:line="400" w:lineRule="exact"/>
        <w:rPr>
          <w:rFonts w:hint="eastAsia" w:ascii="宋体" w:hAnsi="宋体" w:cs="宋体"/>
          <w:color w:val="auto"/>
        </w:rPr>
      </w:pPr>
      <w:r>
        <w:rPr>
          <w:rFonts w:hint="eastAsia" w:ascii="宋体" w:hAnsi="宋体" w:cs="宋体"/>
          <w:color w:val="auto"/>
        </w:rPr>
        <w:t>二、规划任务</w:t>
      </w:r>
    </w:p>
    <w:p>
      <w:pPr>
        <w:spacing w:line="400" w:lineRule="exact"/>
        <w:rPr>
          <w:rFonts w:hint="eastAsia" w:ascii="宋体" w:hAnsi="宋体" w:cs="宋体"/>
          <w:color w:val="auto"/>
        </w:rPr>
      </w:pPr>
      <w:r>
        <w:rPr>
          <w:rFonts w:hint="eastAsia" w:ascii="宋体" w:hAnsi="宋体" w:cs="宋体"/>
          <w:color w:val="auto"/>
        </w:rPr>
        <w:t>根据上述目标，本次规划设计任务建议为《铜锣寨旅游区总体规划及一期建设项目详细规划设计》，达到旅游区总体规划、修建性详细规划要求。</w:t>
      </w:r>
    </w:p>
    <w:p>
      <w:pPr>
        <w:spacing w:line="400" w:lineRule="exact"/>
        <w:rPr>
          <w:rFonts w:hint="eastAsia" w:ascii="宋体" w:hAnsi="宋体" w:cs="宋体"/>
          <w:color w:val="auto"/>
        </w:rPr>
      </w:pPr>
      <w:r>
        <w:rPr>
          <w:rFonts w:hint="eastAsia" w:ascii="宋体" w:hAnsi="宋体" w:cs="宋体"/>
          <w:color w:val="auto"/>
        </w:rPr>
        <w:t>第一部分：铜锣寨旅游区总体规划</w:t>
      </w:r>
    </w:p>
    <w:p>
      <w:pPr>
        <w:spacing w:line="400" w:lineRule="exact"/>
        <w:rPr>
          <w:rFonts w:hint="eastAsia" w:ascii="宋体" w:hAnsi="宋体" w:cs="宋体"/>
          <w:color w:val="auto"/>
        </w:rPr>
      </w:pPr>
      <w:r>
        <w:rPr>
          <w:rFonts w:hint="eastAsia" w:ascii="宋体" w:hAnsi="宋体" w:cs="宋体"/>
          <w:color w:val="auto"/>
        </w:rPr>
        <w:t>规划总论</w:t>
      </w:r>
    </w:p>
    <w:p>
      <w:pPr>
        <w:spacing w:line="400" w:lineRule="exact"/>
        <w:rPr>
          <w:rFonts w:hint="eastAsia" w:ascii="宋体" w:hAnsi="宋体" w:cs="宋体"/>
          <w:color w:val="auto"/>
        </w:rPr>
      </w:pPr>
      <w:r>
        <w:rPr>
          <w:rFonts w:hint="eastAsia" w:ascii="宋体" w:hAnsi="宋体" w:cs="宋体"/>
          <w:color w:val="auto"/>
        </w:rPr>
        <w:t>旅游发展环境分析</w:t>
      </w:r>
    </w:p>
    <w:p>
      <w:pPr>
        <w:spacing w:line="400" w:lineRule="exact"/>
        <w:rPr>
          <w:rFonts w:hint="eastAsia" w:ascii="宋体" w:hAnsi="宋体" w:cs="宋体"/>
          <w:color w:val="auto"/>
        </w:rPr>
      </w:pPr>
      <w:r>
        <w:rPr>
          <w:rFonts w:hint="eastAsia" w:ascii="宋体" w:hAnsi="宋体" w:cs="宋体"/>
          <w:color w:val="auto"/>
        </w:rPr>
        <w:t>旅游资源与条件分析</w:t>
      </w:r>
    </w:p>
    <w:p>
      <w:pPr>
        <w:spacing w:line="400" w:lineRule="exact"/>
        <w:rPr>
          <w:rFonts w:hint="eastAsia" w:ascii="宋体" w:hAnsi="宋体" w:cs="宋体"/>
          <w:color w:val="auto"/>
        </w:rPr>
      </w:pPr>
      <w:r>
        <w:rPr>
          <w:rFonts w:hint="eastAsia" w:ascii="宋体" w:hAnsi="宋体" w:cs="宋体"/>
          <w:color w:val="auto"/>
        </w:rPr>
        <w:t>旅游市场分析与定位</w:t>
      </w:r>
    </w:p>
    <w:p>
      <w:pPr>
        <w:spacing w:line="400" w:lineRule="exact"/>
        <w:rPr>
          <w:rFonts w:hint="eastAsia" w:ascii="宋体" w:hAnsi="宋体" w:cs="宋体"/>
          <w:color w:val="auto"/>
        </w:rPr>
      </w:pPr>
      <w:r>
        <w:rPr>
          <w:rFonts w:hint="eastAsia" w:ascii="宋体" w:hAnsi="宋体" w:cs="宋体"/>
          <w:color w:val="auto"/>
        </w:rPr>
        <w:t>旅游区发展定位与总体思路</w:t>
      </w:r>
    </w:p>
    <w:p>
      <w:pPr>
        <w:spacing w:line="400" w:lineRule="exact"/>
        <w:rPr>
          <w:rFonts w:hint="eastAsia" w:ascii="宋体" w:hAnsi="宋体" w:cs="宋体"/>
          <w:color w:val="auto"/>
        </w:rPr>
      </w:pPr>
      <w:r>
        <w:rPr>
          <w:rFonts w:hint="eastAsia" w:ascii="宋体" w:hAnsi="宋体" w:cs="宋体"/>
          <w:color w:val="auto"/>
        </w:rPr>
        <w:t>旅游区功能布局与重点项目策划</w:t>
      </w:r>
    </w:p>
    <w:p>
      <w:pPr>
        <w:spacing w:line="400" w:lineRule="exact"/>
        <w:rPr>
          <w:rFonts w:hint="eastAsia" w:ascii="宋体" w:hAnsi="宋体" w:cs="宋体"/>
          <w:color w:val="auto"/>
        </w:rPr>
      </w:pPr>
      <w:r>
        <w:rPr>
          <w:rFonts w:hint="eastAsia" w:ascii="宋体" w:hAnsi="宋体" w:cs="宋体"/>
          <w:color w:val="auto"/>
        </w:rPr>
        <w:t>旅游道路与游线规划</w:t>
      </w:r>
    </w:p>
    <w:p>
      <w:pPr>
        <w:spacing w:line="400" w:lineRule="exact"/>
        <w:rPr>
          <w:rFonts w:hint="eastAsia" w:ascii="宋体" w:hAnsi="宋体" w:cs="宋体"/>
          <w:color w:val="auto"/>
        </w:rPr>
      </w:pPr>
      <w:r>
        <w:rPr>
          <w:rFonts w:hint="eastAsia" w:ascii="宋体" w:hAnsi="宋体" w:cs="宋体"/>
          <w:color w:val="auto"/>
        </w:rPr>
        <w:t>旅游公共服务设施规划</w:t>
      </w:r>
    </w:p>
    <w:p>
      <w:pPr>
        <w:spacing w:line="400" w:lineRule="exact"/>
        <w:rPr>
          <w:rFonts w:hint="eastAsia" w:ascii="宋体" w:hAnsi="宋体" w:cs="宋体"/>
          <w:color w:val="auto"/>
        </w:rPr>
      </w:pPr>
      <w:r>
        <w:rPr>
          <w:rFonts w:hint="eastAsia" w:ascii="宋体" w:hAnsi="宋体" w:cs="宋体"/>
          <w:color w:val="auto"/>
        </w:rPr>
        <w:t>旅游基础设施规划</w:t>
      </w:r>
    </w:p>
    <w:p>
      <w:pPr>
        <w:spacing w:line="400" w:lineRule="exact"/>
        <w:rPr>
          <w:rFonts w:hint="eastAsia" w:ascii="宋体" w:hAnsi="宋体" w:cs="宋体"/>
          <w:color w:val="auto"/>
        </w:rPr>
      </w:pPr>
      <w:r>
        <w:rPr>
          <w:rFonts w:hint="eastAsia" w:ascii="宋体" w:hAnsi="宋体" w:cs="宋体"/>
          <w:color w:val="auto"/>
        </w:rPr>
        <w:t>旅游容量与环境保护规划</w:t>
      </w:r>
    </w:p>
    <w:p>
      <w:pPr>
        <w:spacing w:line="400" w:lineRule="exact"/>
        <w:rPr>
          <w:rFonts w:hint="eastAsia" w:ascii="宋体" w:hAnsi="宋体" w:cs="宋体"/>
          <w:color w:val="auto"/>
        </w:rPr>
      </w:pPr>
      <w:r>
        <w:rPr>
          <w:rFonts w:hint="eastAsia" w:ascii="宋体" w:hAnsi="宋体" w:cs="宋体"/>
          <w:color w:val="auto"/>
        </w:rPr>
        <w:t>旅游用地规划</w:t>
      </w:r>
    </w:p>
    <w:p>
      <w:pPr>
        <w:spacing w:line="400" w:lineRule="exact"/>
        <w:rPr>
          <w:rFonts w:hint="eastAsia" w:ascii="宋体" w:hAnsi="宋体" w:cs="宋体"/>
          <w:color w:val="auto"/>
        </w:rPr>
      </w:pPr>
      <w:r>
        <w:rPr>
          <w:rFonts w:hint="eastAsia" w:ascii="宋体" w:hAnsi="宋体" w:cs="宋体"/>
          <w:color w:val="auto"/>
        </w:rPr>
        <w:t>分期建设与投资估算</w:t>
      </w:r>
    </w:p>
    <w:p>
      <w:pPr>
        <w:spacing w:line="400" w:lineRule="exact"/>
        <w:rPr>
          <w:rFonts w:hint="eastAsia" w:ascii="宋体" w:hAnsi="宋体" w:cs="宋体"/>
          <w:color w:val="auto"/>
        </w:rPr>
      </w:pPr>
      <w:r>
        <w:rPr>
          <w:rFonts w:hint="eastAsia" w:ascii="宋体" w:hAnsi="宋体" w:cs="宋体"/>
          <w:color w:val="auto"/>
        </w:rPr>
        <w:t>旅游形象定位与营销策略</w:t>
      </w:r>
    </w:p>
    <w:p>
      <w:pPr>
        <w:spacing w:line="400" w:lineRule="exact"/>
        <w:rPr>
          <w:rFonts w:hint="eastAsia" w:ascii="宋体" w:hAnsi="宋体" w:cs="宋体"/>
          <w:color w:val="auto"/>
        </w:rPr>
      </w:pPr>
      <w:r>
        <w:rPr>
          <w:rFonts w:hint="eastAsia" w:ascii="宋体" w:hAnsi="宋体" w:cs="宋体"/>
          <w:color w:val="auto"/>
        </w:rPr>
        <w:t>旅游产品与活动策划（包括景区线上线下互动游戏产品等）</w:t>
      </w:r>
    </w:p>
    <w:p>
      <w:pPr>
        <w:spacing w:line="400" w:lineRule="exact"/>
        <w:rPr>
          <w:rFonts w:hint="eastAsia" w:ascii="宋体" w:hAnsi="宋体" w:cs="宋体"/>
          <w:color w:val="auto"/>
        </w:rPr>
      </w:pPr>
      <w:r>
        <w:rPr>
          <w:rFonts w:hint="eastAsia" w:ascii="宋体" w:hAnsi="宋体" w:cs="宋体"/>
          <w:color w:val="auto"/>
        </w:rPr>
        <w:t>旅游区投资与管理模式</w:t>
      </w:r>
    </w:p>
    <w:p>
      <w:pPr>
        <w:spacing w:line="400" w:lineRule="exact"/>
        <w:rPr>
          <w:rFonts w:hint="eastAsia" w:ascii="宋体" w:hAnsi="宋体" w:cs="宋体"/>
          <w:color w:val="auto"/>
        </w:rPr>
      </w:pPr>
      <w:r>
        <w:rPr>
          <w:rFonts w:hint="eastAsia" w:ascii="宋体" w:hAnsi="宋体" w:cs="宋体"/>
          <w:color w:val="auto"/>
        </w:rPr>
        <w:t>旅游规划实施建议</w:t>
      </w:r>
    </w:p>
    <w:p>
      <w:pPr>
        <w:spacing w:line="400" w:lineRule="exact"/>
        <w:rPr>
          <w:rFonts w:hint="eastAsia" w:ascii="宋体" w:hAnsi="宋体" w:cs="宋体"/>
          <w:color w:val="auto"/>
        </w:rPr>
      </w:pPr>
      <w:r>
        <w:rPr>
          <w:rFonts w:hint="eastAsia" w:ascii="宋体" w:hAnsi="宋体" w:cs="宋体"/>
          <w:color w:val="auto"/>
        </w:rPr>
        <w:t>第二部分：铜锣寨旅游区一期建设项目详细规划设计</w:t>
      </w:r>
    </w:p>
    <w:p>
      <w:pPr>
        <w:spacing w:line="400" w:lineRule="exact"/>
        <w:rPr>
          <w:rFonts w:hint="eastAsia" w:ascii="宋体" w:hAnsi="宋体" w:cs="宋体"/>
          <w:color w:val="auto"/>
        </w:rPr>
      </w:pPr>
      <w:r>
        <w:rPr>
          <w:rFonts w:hint="eastAsia" w:ascii="宋体" w:hAnsi="宋体" w:cs="宋体"/>
          <w:color w:val="auto"/>
        </w:rPr>
        <w:t>一期建设目标</w:t>
      </w:r>
    </w:p>
    <w:p>
      <w:pPr>
        <w:spacing w:line="400" w:lineRule="exact"/>
        <w:rPr>
          <w:rFonts w:hint="eastAsia" w:ascii="宋体" w:hAnsi="宋体" w:cs="宋体"/>
          <w:color w:val="auto"/>
        </w:rPr>
      </w:pPr>
      <w:r>
        <w:rPr>
          <w:rFonts w:hint="eastAsia" w:ascii="宋体" w:hAnsi="宋体" w:cs="宋体"/>
          <w:color w:val="auto"/>
        </w:rPr>
        <w:t>一期建设项目规划</w:t>
      </w:r>
    </w:p>
    <w:p>
      <w:pPr>
        <w:spacing w:line="400" w:lineRule="exact"/>
        <w:rPr>
          <w:rFonts w:hint="eastAsia" w:ascii="宋体" w:hAnsi="宋体" w:cs="宋体"/>
          <w:color w:val="auto"/>
        </w:rPr>
      </w:pPr>
      <w:r>
        <w:rPr>
          <w:rFonts w:hint="eastAsia" w:ascii="宋体" w:hAnsi="宋体" w:cs="宋体"/>
          <w:color w:val="auto"/>
        </w:rPr>
        <w:t>景区出入口景观提升设计</w:t>
      </w:r>
    </w:p>
    <w:p>
      <w:pPr>
        <w:spacing w:line="400" w:lineRule="exact"/>
        <w:rPr>
          <w:rFonts w:hint="eastAsia" w:ascii="宋体" w:hAnsi="宋体" w:cs="宋体"/>
          <w:color w:val="auto"/>
        </w:rPr>
      </w:pPr>
      <w:r>
        <w:rPr>
          <w:rFonts w:hint="eastAsia" w:ascii="宋体" w:hAnsi="宋体" w:cs="宋体"/>
          <w:color w:val="auto"/>
        </w:rPr>
        <w:t>主服务区与游客服务中心设计</w:t>
      </w:r>
    </w:p>
    <w:p>
      <w:pPr>
        <w:spacing w:line="400" w:lineRule="exact"/>
        <w:rPr>
          <w:rFonts w:hint="eastAsia" w:ascii="宋体" w:hAnsi="宋体" w:cs="宋体"/>
          <w:color w:val="auto"/>
        </w:rPr>
      </w:pPr>
      <w:r>
        <w:rPr>
          <w:rFonts w:hint="eastAsia" w:ascii="宋体" w:hAnsi="宋体" w:cs="宋体"/>
          <w:color w:val="auto"/>
        </w:rPr>
        <w:t>一期游线与道路规划设计</w:t>
      </w:r>
    </w:p>
    <w:p>
      <w:pPr>
        <w:spacing w:line="400" w:lineRule="exact"/>
        <w:rPr>
          <w:rFonts w:hint="eastAsia" w:ascii="宋体" w:hAnsi="宋体" w:cs="宋体"/>
          <w:color w:val="auto"/>
        </w:rPr>
      </w:pPr>
      <w:r>
        <w:rPr>
          <w:rFonts w:hint="eastAsia" w:ascii="宋体" w:hAnsi="宋体" w:cs="宋体"/>
          <w:color w:val="auto"/>
        </w:rPr>
        <w:t>景区标识标牌设计</w:t>
      </w:r>
    </w:p>
    <w:p>
      <w:pPr>
        <w:spacing w:line="400" w:lineRule="exact"/>
        <w:rPr>
          <w:rFonts w:hint="eastAsia" w:ascii="宋体" w:hAnsi="宋体" w:cs="宋体"/>
          <w:color w:val="auto"/>
        </w:rPr>
      </w:pPr>
      <w:r>
        <w:rPr>
          <w:rFonts w:hint="eastAsia" w:ascii="宋体" w:hAnsi="宋体" w:cs="宋体"/>
          <w:color w:val="auto"/>
        </w:rPr>
        <w:t>景点解说系统设计</w:t>
      </w:r>
    </w:p>
    <w:p>
      <w:pPr>
        <w:spacing w:line="400" w:lineRule="exact"/>
        <w:rPr>
          <w:rFonts w:hint="eastAsia" w:ascii="宋体" w:hAnsi="宋体" w:cs="宋体"/>
          <w:color w:val="auto"/>
        </w:rPr>
      </w:pPr>
      <w:r>
        <w:rPr>
          <w:rFonts w:hint="eastAsia" w:ascii="宋体" w:hAnsi="宋体" w:cs="宋体"/>
          <w:color w:val="auto"/>
        </w:rPr>
        <w:t>沿线观景点设计</w:t>
      </w:r>
    </w:p>
    <w:p>
      <w:pPr>
        <w:spacing w:line="400" w:lineRule="exact"/>
        <w:rPr>
          <w:rFonts w:hint="eastAsia" w:ascii="宋体" w:hAnsi="宋体" w:cs="宋体"/>
          <w:color w:val="auto"/>
        </w:rPr>
      </w:pPr>
      <w:r>
        <w:rPr>
          <w:rFonts w:hint="eastAsia" w:ascii="宋体" w:hAnsi="宋体" w:cs="宋体"/>
          <w:color w:val="auto"/>
        </w:rPr>
        <w:t>旅游厕所设计</w:t>
      </w:r>
    </w:p>
    <w:p>
      <w:pPr>
        <w:spacing w:line="400" w:lineRule="exact"/>
        <w:rPr>
          <w:rFonts w:hint="eastAsia" w:ascii="宋体" w:hAnsi="宋体" w:cs="宋体"/>
          <w:color w:val="auto"/>
        </w:rPr>
      </w:pPr>
      <w:r>
        <w:rPr>
          <w:rFonts w:hint="eastAsia" w:ascii="宋体" w:hAnsi="宋体" w:cs="宋体"/>
          <w:color w:val="auto"/>
        </w:rPr>
        <w:t>沿线服务点设计</w:t>
      </w:r>
    </w:p>
    <w:p>
      <w:pPr>
        <w:spacing w:line="400" w:lineRule="exact"/>
        <w:rPr>
          <w:rFonts w:hint="eastAsia" w:ascii="宋体" w:hAnsi="宋体" w:cs="宋体"/>
          <w:color w:val="auto"/>
          <w:lang w:eastAsia="zh-CN"/>
        </w:rPr>
      </w:pPr>
      <w:r>
        <w:rPr>
          <w:rFonts w:hint="eastAsia" w:ascii="宋体" w:hAnsi="宋体" w:cs="宋体"/>
          <w:color w:val="auto"/>
          <w:lang w:eastAsia="zh-CN"/>
        </w:rPr>
        <w:t>景区开发景点（杜鹃湖、迷宫景点）设计</w:t>
      </w:r>
    </w:p>
    <w:p>
      <w:pPr>
        <w:spacing w:line="400" w:lineRule="exact"/>
        <w:rPr>
          <w:rFonts w:hint="eastAsia" w:ascii="宋体" w:hAnsi="宋体" w:cs="宋体"/>
          <w:color w:val="auto"/>
          <w:lang w:eastAsia="zh-CN"/>
        </w:rPr>
      </w:pPr>
      <w:r>
        <w:rPr>
          <w:rFonts w:hint="eastAsia" w:ascii="宋体" w:hAnsi="宋体" w:cs="宋体"/>
          <w:color w:val="auto"/>
          <w:lang w:eastAsia="zh-CN"/>
        </w:rPr>
        <w:t>景区经营性项目滑索设计</w:t>
      </w:r>
    </w:p>
    <w:p>
      <w:pPr>
        <w:spacing w:line="400" w:lineRule="exact"/>
        <w:rPr>
          <w:rFonts w:hint="eastAsia" w:ascii="宋体" w:hAnsi="宋体" w:cs="宋体"/>
          <w:color w:val="auto"/>
        </w:rPr>
      </w:pPr>
      <w:r>
        <w:rPr>
          <w:rFonts w:hint="eastAsia" w:ascii="宋体" w:hAnsi="宋体" w:cs="宋体"/>
          <w:color w:val="auto"/>
        </w:rPr>
        <w:t>一期建设项目经济技术指标</w:t>
      </w:r>
    </w:p>
    <w:p>
      <w:pPr>
        <w:spacing w:line="400" w:lineRule="exact"/>
        <w:rPr>
          <w:rFonts w:hint="eastAsia" w:ascii="宋体" w:hAnsi="宋体" w:cs="宋体"/>
          <w:color w:val="auto"/>
        </w:rPr>
      </w:pPr>
      <w:r>
        <w:rPr>
          <w:rFonts w:hint="eastAsia" w:ascii="宋体" w:hAnsi="宋体" w:cs="宋体"/>
          <w:color w:val="auto"/>
        </w:rPr>
        <w:t>一期建设投资概算</w:t>
      </w:r>
    </w:p>
    <w:p>
      <w:pPr>
        <w:spacing w:line="400" w:lineRule="exact"/>
        <w:rPr>
          <w:rFonts w:hint="eastAsia" w:ascii="宋体" w:hAnsi="宋体" w:cs="宋体"/>
          <w:color w:val="auto"/>
        </w:rPr>
      </w:pPr>
      <w:r>
        <w:rPr>
          <w:rFonts w:hint="eastAsia" w:ascii="宋体" w:hAnsi="宋体" w:cs="宋体"/>
          <w:color w:val="auto"/>
        </w:rPr>
        <w:t>三、工作计划与经费预算</w:t>
      </w:r>
    </w:p>
    <w:p>
      <w:pPr>
        <w:spacing w:line="400" w:lineRule="exact"/>
        <w:rPr>
          <w:rFonts w:hint="eastAsia" w:ascii="宋体" w:hAnsi="宋体" w:cs="宋体"/>
          <w:color w:val="auto"/>
        </w:rPr>
      </w:pPr>
      <w:r>
        <w:rPr>
          <w:rFonts w:hint="eastAsia" w:ascii="宋体" w:hAnsi="宋体" w:cs="宋体"/>
          <w:color w:val="auto"/>
        </w:rPr>
        <w:t>（一）规划与设计工作计划</w:t>
      </w:r>
    </w:p>
    <w:p>
      <w:pPr>
        <w:spacing w:line="400" w:lineRule="exact"/>
        <w:rPr>
          <w:rFonts w:hint="eastAsia" w:ascii="宋体" w:hAnsi="宋体" w:cs="宋体"/>
          <w:color w:val="auto"/>
        </w:rPr>
      </w:pPr>
      <w:r>
        <w:rPr>
          <w:rFonts w:hint="eastAsia" w:ascii="宋体" w:hAnsi="宋体" w:cs="宋体"/>
          <w:color w:val="auto"/>
        </w:rPr>
        <w:t>按照国债项目建设要求，规划设计工作时间要配合项目年底开工建设要求，在三个月内完成规划与设计工作，满足工期要求。</w:t>
      </w:r>
    </w:p>
    <w:p>
      <w:pPr>
        <w:spacing w:line="400" w:lineRule="exact"/>
        <w:rPr>
          <w:rFonts w:hint="eastAsia" w:ascii="宋体" w:hAnsi="宋体" w:cs="宋体"/>
          <w:color w:val="auto"/>
        </w:rPr>
      </w:pPr>
      <w:r>
        <w:rPr>
          <w:rFonts w:hint="eastAsia" w:ascii="宋体" w:hAnsi="宋体" w:cs="宋体"/>
          <w:color w:val="auto"/>
        </w:rPr>
        <w:t>1 现场勘查与核心思路阶段：从协议签订后半个月内完成现场勘查与基础规划设计工作，完成核心思路汇报</w:t>
      </w:r>
    </w:p>
    <w:p>
      <w:pPr>
        <w:spacing w:line="400" w:lineRule="exact"/>
        <w:rPr>
          <w:rFonts w:hint="eastAsia" w:ascii="宋体" w:hAnsi="宋体" w:cs="宋体"/>
          <w:color w:val="auto"/>
        </w:rPr>
      </w:pPr>
      <w:r>
        <w:rPr>
          <w:rFonts w:hint="eastAsia" w:ascii="宋体" w:hAnsi="宋体" w:cs="宋体"/>
          <w:color w:val="auto"/>
        </w:rPr>
        <w:t>2 中期汇报与征求意见阶段：核心思路汇报通过后半个月内完成总体规划与重点项目设计中期汇报成果，完成征求意见会</w:t>
      </w:r>
    </w:p>
    <w:p>
      <w:pPr>
        <w:spacing w:line="400" w:lineRule="exact"/>
        <w:rPr>
          <w:rFonts w:hint="eastAsia" w:ascii="宋体" w:hAnsi="宋体" w:cs="宋体"/>
          <w:color w:val="auto"/>
        </w:rPr>
      </w:pPr>
      <w:r>
        <w:rPr>
          <w:rFonts w:hint="eastAsia" w:ascii="宋体" w:hAnsi="宋体" w:cs="宋体"/>
          <w:color w:val="auto"/>
        </w:rPr>
        <w:t>3 专家论证与深化设计阶段：中期汇报通过后一个月内完成总体规划评审稿与一期项目设计初稿，完成总体规划专家评审会或论证会</w:t>
      </w:r>
    </w:p>
    <w:p>
      <w:pPr>
        <w:spacing w:line="400" w:lineRule="exact"/>
        <w:rPr>
          <w:rFonts w:hint="eastAsia" w:ascii="宋体" w:hAnsi="宋体" w:eastAsia="宋体" w:cs="宋体"/>
          <w:b/>
          <w:color w:val="auto"/>
          <w:sz w:val="21"/>
          <w:szCs w:val="21"/>
          <w:lang w:val="en-US" w:eastAsia="zh-CN"/>
        </w:rPr>
      </w:pPr>
      <w:r>
        <w:rPr>
          <w:rFonts w:hint="eastAsia" w:ascii="宋体" w:hAnsi="宋体" w:cs="宋体"/>
          <w:color w:val="auto"/>
        </w:rPr>
        <w:t>4 最终修改与设计定稿阶段：专家评审通过后一个月内完成全部规划设计成果，提前分批提交深化设计成果</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2" w:firstLineChars="200"/>
        <w:jc w:val="both"/>
        <w:textAlignment w:val="auto"/>
        <w:outlineLvl w:val="9"/>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备注：</w:t>
      </w:r>
      <w:r>
        <w:rPr>
          <w:rFonts w:hint="eastAsia" w:ascii="宋体" w:hAnsi="宋体" w:eastAsia="宋体" w:cs="宋体"/>
          <w:b/>
          <w:color w:val="auto"/>
          <w:sz w:val="21"/>
          <w:szCs w:val="21"/>
        </w:rPr>
        <w:t>本项目报价采用“总价报价”，</w:t>
      </w:r>
      <w:r>
        <w:rPr>
          <w:rFonts w:hint="eastAsia" w:ascii="宋体" w:hAnsi="宋体" w:eastAsia="宋体" w:cs="宋体"/>
          <w:color w:val="auto"/>
          <w:sz w:val="21"/>
          <w:szCs w:val="21"/>
        </w:rPr>
        <w:t>响应报价应含有所投</w:t>
      </w:r>
      <w:r>
        <w:rPr>
          <w:rFonts w:hint="eastAsia" w:ascii="宋体" w:hAnsi="宋体" w:cs="宋体"/>
          <w:color w:val="auto"/>
          <w:sz w:val="21"/>
          <w:szCs w:val="21"/>
          <w:lang w:eastAsia="zh-CN"/>
        </w:rPr>
        <w:t>服务</w:t>
      </w:r>
      <w:r>
        <w:rPr>
          <w:rFonts w:hint="eastAsia" w:ascii="宋体" w:hAnsi="宋体" w:eastAsia="宋体" w:cs="宋体"/>
          <w:color w:val="auto"/>
          <w:sz w:val="21"/>
          <w:szCs w:val="21"/>
        </w:rPr>
        <w:t>的税费（</w:t>
      </w:r>
      <w:r>
        <w:rPr>
          <w:rFonts w:hint="eastAsia" w:ascii="宋体" w:hAnsi="宋体" w:cs="宋体"/>
          <w:color w:val="auto"/>
          <w:sz w:val="21"/>
          <w:szCs w:val="21"/>
          <w:lang w:eastAsia="zh-CN"/>
        </w:rPr>
        <w:t>汇报评审会务费</w:t>
      </w:r>
      <w:r>
        <w:rPr>
          <w:rFonts w:hint="eastAsia" w:ascii="宋体" w:hAnsi="宋体" w:eastAsia="宋体" w:cs="宋体"/>
          <w:color w:val="auto"/>
          <w:sz w:val="21"/>
          <w:szCs w:val="21"/>
        </w:rPr>
        <w:t>、</w:t>
      </w:r>
      <w:r>
        <w:rPr>
          <w:rFonts w:hint="eastAsia" w:ascii="宋体" w:hAnsi="宋体" w:cs="宋体"/>
          <w:color w:val="auto"/>
          <w:sz w:val="21"/>
          <w:szCs w:val="21"/>
          <w:lang w:eastAsia="zh-CN"/>
        </w:rPr>
        <w:t>专家评审费、现场实地考察产生的交通、住宿、餐饮等及规划设计过程中产生的相关</w:t>
      </w:r>
      <w:bookmarkStart w:id="97" w:name="_GoBack"/>
      <w:bookmarkEnd w:id="97"/>
      <w:r>
        <w:rPr>
          <w:rFonts w:hint="eastAsia" w:ascii="宋体" w:hAnsi="宋体" w:cs="宋体"/>
          <w:color w:val="auto"/>
          <w:sz w:val="21"/>
          <w:szCs w:val="21"/>
          <w:lang w:eastAsia="zh-CN"/>
        </w:rPr>
        <w:t>费用</w:t>
      </w:r>
      <w:r>
        <w:rPr>
          <w:rFonts w:hint="eastAsia" w:ascii="宋体" w:hAnsi="宋体" w:eastAsia="宋体" w:cs="宋体"/>
          <w:color w:val="auto"/>
          <w:sz w:val="21"/>
          <w:szCs w:val="21"/>
          <w:lang w:eastAsia="zh-CN"/>
        </w:rPr>
        <w:t>、代理服务费</w:t>
      </w:r>
      <w:r>
        <w:rPr>
          <w:rFonts w:hint="eastAsia" w:ascii="宋体" w:hAnsi="宋体" w:eastAsia="宋体" w:cs="宋体"/>
          <w:color w:val="auto"/>
          <w:sz w:val="21"/>
          <w:szCs w:val="21"/>
        </w:rPr>
        <w:t>等环节所发生的一切费用。响应报价为供应商在响应文件中提出的各项支付金额的总和。</w:t>
      </w:r>
      <w:r>
        <w:rPr>
          <w:rFonts w:hint="eastAsia" w:ascii="宋体" w:hAnsi="宋体" w:eastAsia="宋体" w:cs="宋体"/>
          <w:b/>
          <w:color w:val="auto"/>
          <w:sz w:val="21"/>
          <w:szCs w:val="21"/>
        </w:rPr>
        <w:t>结算时不再有任何调整，成交供应商依据最终报价</w:t>
      </w:r>
    </w:p>
    <w:p>
      <w:pPr>
        <w:jc w:val="left"/>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5" w:name="_Toc4288_WPSOffice_Level1"/>
      <w:bookmarkStart w:id="46" w:name="_Toc11297"/>
      <w:r>
        <w:rPr>
          <w:rFonts w:hint="eastAsia" w:ascii="宋体" w:hAnsi="宋体" w:cs="宋体"/>
          <w:color w:val="auto"/>
          <w:sz w:val="21"/>
          <w:szCs w:val="21"/>
          <w:lang w:val="en-US" w:eastAsia="zh-CN"/>
        </w:rPr>
        <w:t xml:space="preserve">                           </w:t>
      </w: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5"/>
      <w:bookmarkEnd w:id="4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8" w:name="_Toc12631_WPSOffice_Level1"/>
      <w:r>
        <w:rPr>
          <w:rFonts w:hint="eastAsia" w:ascii="宋体" w:hAnsi="宋体" w:eastAsia="宋体" w:cs="宋体"/>
          <w:b/>
          <w:color w:val="auto"/>
          <w:sz w:val="44"/>
          <w:szCs w:val="44"/>
        </w:rPr>
        <w:t>响</w:t>
      </w:r>
      <w:bookmarkEnd w:id="4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9" w:name="_Toc13194_WPSOffice_Level1"/>
      <w:r>
        <w:rPr>
          <w:rFonts w:hint="eastAsia" w:ascii="宋体" w:hAnsi="宋体" w:eastAsia="宋体" w:cs="宋体"/>
          <w:b/>
          <w:color w:val="auto"/>
          <w:sz w:val="44"/>
          <w:szCs w:val="44"/>
        </w:rPr>
        <w:t>应</w:t>
      </w:r>
      <w:bookmarkEnd w:id="4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50" w:name="_Toc28638_WPSOffice_Level1"/>
      <w:r>
        <w:rPr>
          <w:rFonts w:hint="eastAsia" w:ascii="宋体" w:hAnsi="宋体" w:eastAsia="宋体" w:cs="宋体"/>
          <w:b/>
          <w:color w:val="auto"/>
          <w:sz w:val="44"/>
          <w:szCs w:val="44"/>
        </w:rPr>
        <w:t>文</w:t>
      </w:r>
      <w:bookmarkEnd w:id="5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51" w:name="_Toc21450_WPSOffice_Level1"/>
      <w:r>
        <w:rPr>
          <w:rFonts w:hint="eastAsia" w:ascii="宋体" w:hAnsi="宋体" w:eastAsia="宋体" w:cs="宋体"/>
          <w:b/>
          <w:color w:val="auto"/>
          <w:sz w:val="44"/>
          <w:szCs w:val="44"/>
        </w:rPr>
        <w:t>件</w:t>
      </w:r>
      <w:bookmarkEnd w:id="51"/>
    </w:p>
    <w:p>
      <w:pPr>
        <w:pStyle w:val="3"/>
        <w:jc w:val="center"/>
        <w:rPr>
          <w:rFonts w:ascii="黑体"/>
          <w:color w:val="auto"/>
          <w:sz w:val="44"/>
          <w:u w:val="single"/>
        </w:rPr>
      </w:pPr>
      <w:bookmarkStart w:id="52" w:name="_Toc30778_WPSOffice_Level1"/>
      <w:r>
        <w:rPr>
          <w:rFonts w:hint="eastAsia" w:ascii="黑体" w:hAnsi="Times New Roman" w:eastAsia="黑体"/>
          <w:color w:val="auto"/>
          <w:kern w:val="2"/>
          <w:sz w:val="32"/>
          <w:szCs w:val="22"/>
          <w:u w:val="single"/>
        </w:rPr>
        <w:t>正本（副本）</w:t>
      </w:r>
      <w:bookmarkEnd w:id="5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4"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6"/>
    </w:p>
    <w:p>
      <w:pPr>
        <w:spacing w:afterLines="50" w:line="500" w:lineRule="exact"/>
        <w:jc w:val="center"/>
        <w:rPr>
          <w:rFonts w:hint="eastAsia" w:ascii="宋体" w:hAnsi="宋体" w:eastAsia="宋体" w:cs="宋体"/>
          <w:b/>
          <w:color w:val="auto"/>
          <w:sz w:val="32"/>
        </w:rPr>
      </w:pPr>
    </w:p>
    <w:p>
      <w:pPr>
        <w:jc w:val="center"/>
        <w:rPr>
          <w:rFonts w:hint="eastAsia"/>
          <w:b/>
          <w:bCs/>
          <w:color w:val="auto"/>
          <w:sz w:val="28"/>
          <w:szCs w:val="28"/>
        </w:rPr>
      </w:pPr>
      <w:bookmarkStart w:id="57" w:name="_Toc19469_WPSOffice_Level1"/>
      <w:r>
        <w:rPr>
          <w:rFonts w:hint="eastAsia"/>
          <w:b/>
          <w:bCs/>
          <w:color w:val="auto"/>
          <w:sz w:val="28"/>
          <w:szCs w:val="28"/>
        </w:rPr>
        <w:t>响应文件资料清单</w:t>
      </w:r>
      <w:bookmarkEnd w:id="57"/>
    </w:p>
    <w:p>
      <w:pPr>
        <w:adjustRightInd w:val="0"/>
        <w:snapToGrid w:val="0"/>
        <w:spacing w:line="240" w:lineRule="exact"/>
        <w:jc w:val="center"/>
        <w:rPr>
          <w:rFonts w:hint="eastAsia" w:ascii="宋体" w:hAnsi="宋体" w:eastAsia="宋体" w:cs="宋体"/>
          <w:b/>
          <w:color w:val="auto"/>
          <w:sz w:val="24"/>
        </w:rPr>
      </w:pPr>
    </w:p>
    <w:tbl>
      <w:tblPr>
        <w:tblStyle w:val="14"/>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0"/>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0"/>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r>
              <w:rPr>
                <w:rFonts w:hint="eastAsia" w:ascii="宋体" w:hAnsi="宋体" w:cs="宋体"/>
                <w:b w:val="0"/>
                <w:bCs/>
                <w:color w:val="auto"/>
                <w:sz w:val="21"/>
                <w:szCs w:val="21"/>
                <w:lang w:eastAsia="zh-CN"/>
              </w:rPr>
              <w:t>比如</w:t>
            </w:r>
            <w:r>
              <w:rPr>
                <w:rFonts w:hint="eastAsia" w:ascii="宋体" w:hAnsi="宋体" w:cs="宋体"/>
                <w:b w:val="0"/>
                <w:bCs/>
                <w:color w:val="auto"/>
                <w:sz w:val="21"/>
                <w:szCs w:val="21"/>
                <w:lang w:val="en-US" w:eastAsia="zh-CN"/>
              </w:rPr>
              <w:t xml:space="preserve"> 提交成果清单、阶段性工作计划等。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r>
              <w:rPr>
                <w:rFonts w:hint="eastAsia" w:ascii="宋体" w:hAnsi="宋体" w:cs="宋体"/>
                <w:color w:val="auto"/>
                <w:szCs w:val="21"/>
                <w:lang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b/>
                <w:bCs/>
                <w:color w:val="auto"/>
                <w:szCs w:val="21"/>
                <w:lang w:val="en-US" w:eastAsia="zh-CN"/>
              </w:rPr>
              <w:t>无缝对接响应函</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r>
              <w:rPr>
                <w:rFonts w:hint="eastAsia" w:ascii="宋体" w:hAnsi="宋体" w:cs="宋体"/>
                <w:color w:val="auto"/>
                <w:szCs w:val="21"/>
                <w:lang w:val="en-US" w:eastAsia="zh-CN"/>
              </w:rPr>
              <w:t>.......</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adjustRightInd w:val="0"/>
        <w:snapToGrid w:val="0"/>
        <w:spacing w:line="360" w:lineRule="exact"/>
        <w:ind w:firstLine="4427" w:firstLineChars="2100"/>
        <w:rPr>
          <w:rFonts w:hint="eastAsia" w:ascii="宋体" w:hAnsi="宋体" w:eastAsia="宋体" w:cs="宋体"/>
          <w:b/>
          <w:color w:val="auto"/>
          <w:szCs w:val="21"/>
        </w:rPr>
      </w:pPr>
    </w:p>
    <w:bookmarkEnd w:id="37"/>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8" w:name="_Toc5932"/>
      <w:bookmarkStart w:id="59" w:name="_Toc471299103"/>
      <w:r>
        <w:rPr>
          <w:rFonts w:hint="eastAsia" w:ascii="宋体" w:hAnsi="宋体" w:eastAsia="宋体" w:cs="宋体"/>
          <w:color w:val="auto"/>
          <w:sz w:val="21"/>
          <w:szCs w:val="21"/>
        </w:rPr>
        <w:t>附件</w:t>
      </w:r>
      <w:bookmarkEnd w:id="58"/>
      <w:bookmarkEnd w:id="59"/>
      <w:r>
        <w:rPr>
          <w:rFonts w:hint="eastAsia" w:ascii="宋体" w:hAnsi="宋体" w:cs="宋体"/>
          <w:color w:val="auto"/>
          <w:sz w:val="21"/>
          <w:szCs w:val="21"/>
          <w:lang w:eastAsia="zh-CN"/>
        </w:rPr>
        <w:t>一</w:t>
      </w:r>
    </w:p>
    <w:p>
      <w:pPr>
        <w:jc w:val="center"/>
        <w:rPr>
          <w:rFonts w:hint="eastAsia"/>
          <w:b/>
          <w:bCs/>
          <w:color w:val="auto"/>
          <w:sz w:val="28"/>
          <w:szCs w:val="28"/>
        </w:rPr>
      </w:pPr>
      <w:bookmarkStart w:id="60" w:name="_Toc10142_WPSOffice_Level1"/>
      <w:r>
        <w:rPr>
          <w:rFonts w:hint="eastAsia"/>
          <w:b/>
          <w:bCs/>
          <w:color w:val="auto"/>
          <w:sz w:val="28"/>
          <w:szCs w:val="28"/>
        </w:rPr>
        <w:t>供应商基本信息</w:t>
      </w:r>
      <w:bookmarkEnd w:id="60"/>
    </w:p>
    <w:p>
      <w:pPr>
        <w:jc w:val="center"/>
        <w:rPr>
          <w:rFonts w:hint="eastAsia" w:eastAsia="宋体"/>
          <w:b/>
          <w:bCs/>
          <w:color w:val="auto"/>
          <w:sz w:val="28"/>
          <w:szCs w:val="28"/>
          <w:lang w:eastAsia="zh-CN"/>
        </w:rPr>
      </w:pPr>
      <w:bookmarkStart w:id="61" w:name="_Toc5936_WPSOffice_Level1"/>
      <w:r>
        <w:rPr>
          <w:rFonts w:hint="eastAsia"/>
          <w:b/>
          <w:bCs/>
          <w:color w:val="auto"/>
          <w:sz w:val="28"/>
          <w:szCs w:val="28"/>
          <w:lang w:eastAsia="zh-CN"/>
        </w:rPr>
        <w:t>（格式自拟）</w:t>
      </w:r>
      <w:bookmarkEnd w:id="61"/>
    </w:p>
    <w:p>
      <w:pPr>
        <w:rPr>
          <w:color w:val="auto"/>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2" w:name="_Toc31656"/>
      <w:bookmarkStart w:id="63" w:name="_Toc471299104"/>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二</w:t>
      </w:r>
    </w:p>
    <w:p>
      <w:pPr>
        <w:jc w:val="center"/>
        <w:rPr>
          <w:rFonts w:hint="eastAsia"/>
          <w:b/>
          <w:bCs/>
          <w:color w:val="auto"/>
          <w:sz w:val="28"/>
          <w:szCs w:val="28"/>
        </w:rPr>
      </w:pPr>
      <w:bookmarkStart w:id="64" w:name="_Toc8862_WPSOffice_Level1"/>
      <w:bookmarkStart w:id="65" w:name="_Toc471299105"/>
      <w:r>
        <w:rPr>
          <w:rFonts w:hint="eastAsia"/>
          <w:b/>
          <w:bCs/>
          <w:color w:val="auto"/>
          <w:sz w:val="28"/>
          <w:szCs w:val="28"/>
          <w:lang w:eastAsia="zh-CN"/>
        </w:rPr>
        <w:t>响应</w:t>
      </w:r>
      <w:r>
        <w:rPr>
          <w:rFonts w:hint="eastAsia"/>
          <w:b/>
          <w:bCs/>
          <w:color w:val="auto"/>
          <w:sz w:val="28"/>
          <w:szCs w:val="28"/>
        </w:rPr>
        <w:t>授权书</w:t>
      </w:r>
      <w:bookmarkEnd w:id="6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6" w:name="_Toc26907"/>
      <w:r>
        <w:rPr>
          <w:rFonts w:hint="eastAsia" w:ascii="宋体" w:hAnsi="宋体" w:eastAsia="宋体" w:cs="宋体"/>
          <w:color w:val="auto"/>
          <w:sz w:val="21"/>
          <w:szCs w:val="21"/>
        </w:rPr>
        <w:t>附件</w:t>
      </w:r>
      <w:bookmarkEnd w:id="65"/>
      <w:bookmarkEnd w:id="66"/>
      <w:r>
        <w:rPr>
          <w:rFonts w:hint="eastAsia" w:ascii="宋体" w:hAnsi="宋体" w:cs="宋体"/>
          <w:color w:val="auto"/>
          <w:sz w:val="21"/>
          <w:szCs w:val="21"/>
          <w:lang w:eastAsia="zh-CN"/>
        </w:rPr>
        <w:t>三</w:t>
      </w:r>
    </w:p>
    <w:p>
      <w:pPr>
        <w:jc w:val="center"/>
        <w:rPr>
          <w:rFonts w:hint="eastAsia"/>
          <w:b/>
          <w:bCs/>
          <w:color w:val="auto"/>
          <w:sz w:val="28"/>
          <w:szCs w:val="28"/>
        </w:rPr>
      </w:pPr>
      <w:bookmarkStart w:id="67" w:name="_Toc3858_WPSOffice_Level1"/>
      <w:bookmarkStart w:id="68" w:name="_Toc516969098"/>
      <w:bookmarkStart w:id="69" w:name="_Toc148501698"/>
      <w:r>
        <w:rPr>
          <w:rFonts w:hint="eastAsia"/>
          <w:b/>
          <w:bCs/>
          <w:color w:val="auto"/>
          <w:sz w:val="28"/>
          <w:szCs w:val="28"/>
        </w:rPr>
        <w:t>响应函</w:t>
      </w:r>
      <w:bookmarkEnd w:id="67"/>
      <w:bookmarkEnd w:id="68"/>
      <w:bookmarkEnd w:id="69"/>
    </w:p>
    <w:p>
      <w:pPr>
        <w:pStyle w:val="8"/>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0" w:name="_Toc417045478"/>
      <w:bookmarkStart w:id="71" w:name="_Toc30711"/>
      <w:bookmarkStart w:id="72" w:name="_Toc471299106"/>
      <w:r>
        <w:rPr>
          <w:rFonts w:hint="eastAsia" w:ascii="宋体" w:hAnsi="宋体" w:eastAsia="宋体" w:cs="宋体"/>
          <w:color w:val="auto"/>
          <w:sz w:val="21"/>
          <w:szCs w:val="21"/>
        </w:rPr>
        <w:t>附件</w:t>
      </w:r>
      <w:bookmarkEnd w:id="70"/>
      <w:bookmarkEnd w:id="71"/>
      <w:bookmarkEnd w:id="7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3" w:name="_Toc1513_WPSOffice_Level1"/>
      <w:r>
        <w:rPr>
          <w:rFonts w:hint="eastAsia"/>
          <w:b/>
          <w:bCs/>
          <w:color w:val="auto"/>
          <w:sz w:val="28"/>
          <w:szCs w:val="28"/>
          <w:lang w:val="zh-CN"/>
        </w:rPr>
        <w:t>无重大违法记录声明函</w:t>
      </w:r>
      <w:bookmarkEnd w:id="7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both"/>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both"/>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4" w:name="_Toc29566_WPSOffice_Level1"/>
      <w:r>
        <w:rPr>
          <w:rFonts w:hint="eastAsia"/>
          <w:b/>
          <w:bCs/>
          <w:color w:val="auto"/>
          <w:sz w:val="28"/>
          <w:szCs w:val="28"/>
          <w:lang w:val="zh-CN"/>
        </w:rPr>
        <w:t>无不良信用记录承诺函</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both"/>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both"/>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5"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6" w:name="_Toc471299107"/>
      <w:r>
        <w:rPr>
          <w:rFonts w:hint="eastAsia"/>
          <w:color w:val="auto"/>
          <w:sz w:val="24"/>
          <w:szCs w:val="24"/>
        </w:rPr>
        <w:br w:type="page"/>
      </w:r>
      <w:bookmarkStart w:id="77" w:name="_Toc3574"/>
      <w:r>
        <w:rPr>
          <w:rFonts w:hint="eastAsia" w:ascii="宋体" w:hAnsi="宋体" w:eastAsia="宋体" w:cs="宋体"/>
          <w:color w:val="auto"/>
          <w:sz w:val="21"/>
          <w:szCs w:val="21"/>
        </w:rPr>
        <w:t>附件</w:t>
      </w:r>
      <w:bookmarkEnd w:id="75"/>
      <w:bookmarkEnd w:id="76"/>
      <w:bookmarkEnd w:id="77"/>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8" w:name="_Toc24671_WPSOffice_Level1"/>
      <w:r>
        <w:rPr>
          <w:rFonts w:hint="eastAsia"/>
          <w:b/>
          <w:bCs/>
          <w:color w:val="auto"/>
          <w:sz w:val="28"/>
          <w:szCs w:val="28"/>
          <w:lang w:val="zh-CN"/>
        </w:rPr>
        <w:t>询价响应表</w:t>
      </w:r>
      <w:bookmarkEnd w:id="78"/>
    </w:p>
    <w:tbl>
      <w:tblPr>
        <w:tblStyle w:val="14"/>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79" w:name="_Toc47129911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80" w:name="_Toc2756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79"/>
      <w:bookmarkEnd w:id="80"/>
      <w:r>
        <w:rPr>
          <w:rFonts w:hint="eastAsia" w:ascii="宋体" w:hAnsi="宋体" w:cs="宋体"/>
          <w:color w:val="auto"/>
          <w:sz w:val="21"/>
          <w:szCs w:val="21"/>
          <w:lang w:eastAsia="zh-CN"/>
        </w:rPr>
        <w:t>六</w:t>
      </w:r>
    </w:p>
    <w:p>
      <w:pPr>
        <w:pStyle w:val="4"/>
        <w:adjustRightInd w:val="0"/>
        <w:snapToGrid w:val="0"/>
        <w:spacing w:before="120" w:beforeLines="50" w:after="120" w:afterLines="50" w:line="440" w:lineRule="exact"/>
        <w:rPr>
          <w:rFonts w:hint="eastAsia" w:ascii="Times New Roman" w:hAnsi="Times New Roman" w:eastAsia="宋体" w:cs="Times New Roman"/>
          <w:b/>
          <w:bCs/>
          <w:color w:val="auto"/>
          <w:kern w:val="2"/>
          <w:sz w:val="28"/>
          <w:szCs w:val="28"/>
          <w:lang w:val="en-US" w:eastAsia="zh-CN" w:bidi="ar-SA"/>
        </w:rPr>
      </w:pPr>
      <w:bookmarkStart w:id="81"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1"/>
    </w:p>
    <w:tbl>
      <w:tblPr>
        <w:tblStyle w:val="14"/>
        <w:tblW w:w="91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大写：</w:t>
            </w:r>
            <w:r>
              <w:rPr>
                <w:rFonts w:hint="eastAsia" w:ascii="宋体" w:hAnsi="宋体" w:cs="宋体"/>
                <w:color w:val="auto"/>
                <w:szCs w:val="21"/>
                <w:u w:val="single"/>
              </w:rPr>
              <w:t xml:space="preserve">                          </w:t>
            </w:r>
            <w:r>
              <w:rPr>
                <w:rFonts w:hint="eastAsia" w:ascii="宋体" w:hAnsi="宋体" w:cs="宋体"/>
                <w:color w:val="auto"/>
                <w:szCs w:val="21"/>
              </w:rPr>
              <w:t>元</w:t>
            </w:r>
          </w:p>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小写：</w:t>
            </w:r>
            <w:r>
              <w:rPr>
                <w:rFonts w:hint="eastAsia" w:ascii="宋体" w:hAnsi="宋体" w:cs="宋体"/>
                <w:color w:val="auto"/>
                <w:szCs w:val="21"/>
                <w:u w:val="single"/>
              </w:rPr>
              <w:t xml:space="preserve">                          </w:t>
            </w:r>
            <w:r>
              <w:rPr>
                <w:rFonts w:hint="eastAsia" w:ascii="宋体" w:hAnsi="宋体" w:cs="宋体"/>
                <w:color w:val="auto"/>
                <w:szCs w:val="21"/>
              </w:rPr>
              <w:t xml:space="preserve">元 </w:t>
            </w:r>
          </w:p>
          <w:p>
            <w:pPr>
              <w:spacing w:line="440" w:lineRule="exact"/>
              <w:ind w:right="-670"/>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响应报价为响应人在响应文件中提出的各项支付金额的总和。包括本次全部内容及人员工资、材料费、工具费、税费等所发生的所有费用</w:t>
      </w:r>
      <w:r>
        <w:rPr>
          <w:rFonts w:hint="eastAsia" w:ascii="宋体" w:hAnsi="宋体" w:cs="宋体"/>
          <w:color w:val="auto"/>
          <w:szCs w:val="21"/>
        </w:rPr>
        <w:t>等。成交人应向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adjustRightInd w:val="0"/>
        <w:snapToGrid w:val="0"/>
        <w:spacing w:line="320" w:lineRule="auto"/>
        <w:rPr>
          <w:rFonts w:hint="eastAsia" w:ascii="宋体" w:hAnsi="宋体" w:eastAsia="宋体" w:cs="宋体"/>
          <w:b/>
          <w:color w:val="auto"/>
          <w:sz w:val="21"/>
          <w:szCs w:val="21"/>
          <w:lang w:val="en-US" w:bidi="ar-SA"/>
        </w:rPr>
      </w:pP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b/>
          <w:bCs/>
          <w:color w:val="auto"/>
          <w:sz w:val="28"/>
          <w:szCs w:val="28"/>
          <w:lang w:val="en-US" w:eastAsia="zh-CN"/>
        </w:rPr>
        <w:t xml:space="preserve"> </w:t>
      </w:r>
      <w:bookmarkStart w:id="82" w:name="_Toc28824_WPSOffice_Level1"/>
      <w:r>
        <w:rPr>
          <w:rFonts w:hint="eastAsia"/>
          <w:b/>
          <w:bCs/>
          <w:color w:val="auto"/>
          <w:sz w:val="28"/>
          <w:szCs w:val="28"/>
          <w:lang w:val="en-US" w:eastAsia="zh-CN"/>
        </w:rPr>
        <w:t>（二）</w:t>
      </w:r>
      <w:r>
        <w:rPr>
          <w:rFonts w:hint="eastAsia"/>
          <w:b/>
          <w:bCs/>
          <w:color w:val="auto"/>
          <w:sz w:val="28"/>
          <w:szCs w:val="28"/>
          <w:lang w:val="en-US"/>
        </w:rPr>
        <w:t xml:space="preserve"> 分项详细报价书</w:t>
      </w:r>
      <w:bookmarkEnd w:id="82"/>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3" w:name="_Toc32017"/>
      <w:r>
        <w:rPr>
          <w:rFonts w:hint="eastAsia" w:ascii="宋体" w:hAnsi="宋体" w:eastAsia="宋体" w:cs="宋体"/>
          <w:color w:val="auto"/>
          <w:sz w:val="21"/>
          <w:szCs w:val="21"/>
        </w:rPr>
        <w:t>附件</w:t>
      </w:r>
      <w:bookmarkEnd w:id="8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4" w:name="_Toc12025_WPSOffice_Level1"/>
      <w:r>
        <w:rPr>
          <w:rFonts w:hint="eastAsia"/>
          <w:b/>
          <w:bCs/>
          <w:color w:val="auto"/>
          <w:sz w:val="28"/>
          <w:szCs w:val="28"/>
          <w:lang w:val="zh-CN"/>
        </w:rPr>
        <w:t>供货、安装、售后服务承诺</w:t>
      </w:r>
      <w:bookmarkEnd w:id="8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5" w:name="_Toc27705"/>
      <w:r>
        <w:rPr>
          <w:rFonts w:hint="eastAsia" w:ascii="宋体" w:hAnsi="宋体" w:eastAsia="宋体" w:cs="宋体"/>
          <w:color w:val="auto"/>
          <w:sz w:val="21"/>
          <w:szCs w:val="21"/>
        </w:rPr>
        <w:t>附件</w:t>
      </w:r>
      <w:bookmarkEnd w:id="8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6" w:name="_Toc1950_WPSOffice_Level1"/>
      <w:r>
        <w:rPr>
          <w:rFonts w:hint="eastAsia"/>
          <w:b/>
          <w:bCs/>
          <w:color w:val="auto"/>
          <w:sz w:val="28"/>
          <w:szCs w:val="28"/>
          <w:lang w:val="zh-CN"/>
        </w:rPr>
        <w:t>询价文件要求和供应商认为需要提供的其它说明和资料</w:t>
      </w:r>
      <w:bookmarkEnd w:id="86"/>
    </w:p>
    <w:p>
      <w:pPr>
        <w:jc w:val="both"/>
        <w:rPr>
          <w:rFonts w:hint="eastAsia" w:ascii="宋体" w:hAnsi="宋体" w:cs="宋体"/>
          <w:b/>
          <w:bCs/>
          <w:color w:val="auto"/>
          <w:sz w:val="32"/>
          <w:szCs w:val="32"/>
        </w:rPr>
      </w:pPr>
      <w:bookmarkStart w:id="87" w:name="_Toc3085"/>
      <w:bookmarkStart w:id="88" w:name="_Toc19844_WPSOffice_Level1"/>
      <w:r>
        <w:rPr>
          <w:rStyle w:val="21"/>
          <w:rFonts w:hint="eastAsia"/>
          <w:color w:val="auto"/>
          <w:sz w:val="21"/>
          <w:szCs w:val="21"/>
          <w:lang w:val="en-US" w:eastAsia="zh-CN"/>
        </w:rPr>
        <w:t>附件九</w:t>
      </w:r>
      <w:r>
        <w:rPr>
          <w:rStyle w:val="21"/>
          <w:rFonts w:hint="eastAsia"/>
          <w:color w:val="auto"/>
          <w:sz w:val="21"/>
          <w:szCs w:val="21"/>
        </w:rPr>
        <w:t xml:space="preserve"> </w:t>
      </w:r>
      <w:bookmarkEnd w:id="8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8"/>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 w:firstLineChars="200"/>
        <w:rPr>
          <w:rFonts w:hint="eastAsia" w:ascii="宋体" w:hAnsi="宋体" w:cs="宋体"/>
          <w:color w:val="auto"/>
          <w:sz w:val="24"/>
        </w:rPr>
      </w:pP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p>
    <w:p>
      <w:pPr>
        <w:rPr>
          <w:rFonts w:hint="eastAsia" w:ascii="宋体" w:hAnsi="宋体" w:cs="宋体"/>
          <w:b/>
          <w:bCs/>
          <w:color w:val="auto"/>
          <w:sz w:val="24"/>
        </w:rPr>
      </w:pPr>
      <w:bookmarkStart w:id="89" w:name="_Toc10947_WPSOffice_Level1"/>
      <w:r>
        <w:rPr>
          <w:rFonts w:hint="eastAsia" w:ascii="宋体" w:hAnsi="宋体" w:cs="宋体"/>
          <w:b/>
          <w:bCs/>
          <w:color w:val="auto"/>
          <w:sz w:val="24"/>
        </w:rPr>
        <w:t>注：</w:t>
      </w:r>
      <w:bookmarkEnd w:id="89"/>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p>
    <w:p>
      <w:pPr>
        <w:rPr>
          <w:rFonts w:hint="eastAsia" w:ascii="宋体" w:hAnsi="宋体" w:cs="宋体"/>
          <w:b/>
          <w:bCs/>
          <w:color w:val="auto"/>
          <w:sz w:val="24"/>
        </w:rPr>
      </w:pPr>
      <w:bookmarkStart w:id="90" w:name="_Toc27363_WPSOffice_Level1"/>
      <w:r>
        <w:rPr>
          <w:rFonts w:hint="eastAsia" w:ascii="宋体" w:hAnsi="宋体" w:cs="宋体"/>
          <w:b/>
          <w:bCs/>
          <w:color w:val="auto"/>
          <w:sz w:val="24"/>
        </w:rPr>
        <w:t>注：</w:t>
      </w:r>
      <w:bookmarkEnd w:id="90"/>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1" w:name="_Toc13534_WPSOffice_Level1"/>
      <w:r>
        <w:rPr>
          <w:rFonts w:hint="eastAsia" w:ascii="宋体" w:hAnsi="宋体" w:cs="宋体"/>
          <w:b/>
          <w:bCs/>
          <w:color w:val="auto"/>
          <w:sz w:val="24"/>
        </w:rPr>
        <w:t>注：</w:t>
      </w:r>
      <w:bookmarkEnd w:id="91"/>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2" w:name="_Toc16902_WPSOffice_Level1"/>
      <w:r>
        <w:rPr>
          <w:rFonts w:hint="eastAsia" w:ascii="宋体" w:hAnsi="宋体" w:cs="宋体"/>
          <w:b/>
          <w:bCs/>
          <w:color w:val="auto"/>
          <w:sz w:val="24"/>
          <w:szCs w:val="24"/>
        </w:rPr>
        <w:t>附件：</w:t>
      </w:r>
      <w:bookmarkEnd w:id="92"/>
    </w:p>
    <w:p>
      <w:pPr>
        <w:spacing w:line="400" w:lineRule="exact"/>
        <w:jc w:val="center"/>
        <w:rPr>
          <w:rFonts w:hint="eastAsia" w:ascii="宋体" w:hAnsi="宋体" w:cs="宋体"/>
          <w:b/>
          <w:color w:val="auto"/>
          <w:sz w:val="28"/>
          <w:szCs w:val="28"/>
          <w:shd w:val="clear" w:color="auto" w:fill="FFFFFF"/>
        </w:rPr>
      </w:pPr>
      <w:bookmarkStart w:id="9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3"/>
    </w:p>
    <w:p>
      <w:pPr>
        <w:adjustRightInd w:val="0"/>
        <w:snapToGrid w:val="0"/>
        <w:spacing w:line="360" w:lineRule="exact"/>
        <w:ind w:right="15" w:rightChars="7"/>
        <w:rPr>
          <w:rFonts w:hint="eastAsia" w:ascii="宋体" w:hAnsi="宋体" w:cs="宋体"/>
          <w:bCs/>
          <w:color w:val="auto"/>
          <w:shd w:val="clear" w:color="auto" w:fill="FFFFFF"/>
        </w:rPr>
      </w:pPr>
      <w:bookmarkStart w:id="94" w:name="_Toc3059_WPSOffice_Level1"/>
      <w:r>
        <w:rPr>
          <w:rFonts w:hint="eastAsia" w:ascii="宋体" w:hAnsi="宋体" w:cs="宋体"/>
          <w:bCs/>
          <w:color w:val="auto"/>
          <w:shd w:val="clear" w:color="auto" w:fill="FFFFFF"/>
        </w:rPr>
        <w:t>一、项目相关情况</w:t>
      </w:r>
      <w:bookmarkEnd w:id="9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rPr>
        <w:t>霍山县财政局政府采购办公室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5" w:name="_Toc21327_WPSOffice_Level1"/>
      <w:r>
        <w:rPr>
          <w:rFonts w:hint="eastAsia" w:ascii="宋体" w:hAnsi="宋体" w:cs="宋体"/>
          <w:bCs/>
          <w:color w:val="auto"/>
          <w:shd w:val="clear" w:color="auto" w:fill="FFFFFF"/>
        </w:rPr>
        <w:t>二、质疑提起的条件及不予受理的情形</w:t>
      </w:r>
      <w:bookmarkEnd w:id="9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6" w:name="_Toc17685_WPSOffice_Level1"/>
      <w:r>
        <w:rPr>
          <w:rFonts w:hint="eastAsia" w:ascii="宋体" w:hAnsi="宋体" w:cs="宋体"/>
          <w:bCs/>
          <w:color w:val="auto"/>
          <w:shd w:val="clear" w:color="auto" w:fill="FFFFFF"/>
        </w:rPr>
        <w:t>三、其他</w:t>
      </w:r>
      <w:bookmarkEnd w:id="9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sectPr>
      <w:footerReference r:id="rId9" w:type="default"/>
      <w:pgSz w:w="11906" w:h="16838"/>
      <w:pgMar w:top="1134" w:right="1449" w:bottom="1134" w:left="1417" w:header="567" w:footer="992" w:gutter="0"/>
      <w:pgNumType w:fmt="decimal" w:start="2"/>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黑体">
    <w:panose1 w:val="02010609060101010101"/>
    <w:charset w:val="88"/>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EYQVhSwAQAA&#10;WQMAAA4AAAAAAAAAAQAgAAAAHgEAAGRycy9lMm9Eb2MueG1sUEsFBgAAAAAGAAYAWQEAAEAFAAAA&#10;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left"/>
      <w:textAlignment w:val="auto"/>
      <w:outlineLvl w:val="9"/>
      <w:rPr>
        <w:rFonts w:hint="default"/>
        <w:sz w:val="21"/>
        <w:szCs w:val="20"/>
        <w:lang w:val="en-US"/>
      </w:rPr>
    </w:pPr>
    <w:r>
      <w:rPr>
        <w:rFonts w:hint="eastAsia"/>
        <w:sz w:val="18"/>
        <w:szCs w:val="20"/>
        <w:u w:val="single"/>
        <w:lang w:val="en-US" w:eastAsia="zh-CN"/>
      </w:rPr>
      <w:t>铜锣寨风景区总体规划及一期项目详细规划设计</w:t>
    </w:r>
    <w:r>
      <w:rPr>
        <w:rFonts w:hint="eastAsia"/>
        <w:sz w:val="18"/>
        <w:szCs w:val="16"/>
        <w:u w:val="single"/>
        <w:lang w:val="en-US" w:eastAsia="zh-CN"/>
      </w:rPr>
      <w:t xml:space="preserve">询价文件                     安徽大别山工程咨询有限公司 </w:t>
    </w:r>
    <w:r>
      <w:rPr>
        <w:rFonts w:hint="eastAsia"/>
        <w:sz w:val="20"/>
        <w:szCs w:val="18"/>
        <w:u w:val="single"/>
        <w:lang w:val="en-US" w:eastAsia="zh-CN"/>
      </w:rPr>
      <w:t xml:space="preserve">   </w:t>
    </w:r>
    <w:r>
      <w:rPr>
        <w:rFonts w:hint="eastAsia"/>
        <w:sz w:val="21"/>
        <w:szCs w:val="20"/>
        <w:u w:val="single"/>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644344B"/>
    <w:rsid w:val="065734CB"/>
    <w:rsid w:val="0A967446"/>
    <w:rsid w:val="0D4A538B"/>
    <w:rsid w:val="147737A7"/>
    <w:rsid w:val="161D1882"/>
    <w:rsid w:val="16C41FE1"/>
    <w:rsid w:val="16E90795"/>
    <w:rsid w:val="174F1F7C"/>
    <w:rsid w:val="18FB5F6E"/>
    <w:rsid w:val="1A331B52"/>
    <w:rsid w:val="1C230B2D"/>
    <w:rsid w:val="1DC0444F"/>
    <w:rsid w:val="215167E4"/>
    <w:rsid w:val="25656A25"/>
    <w:rsid w:val="2756117E"/>
    <w:rsid w:val="2DD57ECD"/>
    <w:rsid w:val="2F1C57A5"/>
    <w:rsid w:val="2FA7707A"/>
    <w:rsid w:val="31F9233C"/>
    <w:rsid w:val="38B45EFC"/>
    <w:rsid w:val="38D036A4"/>
    <w:rsid w:val="47ED349E"/>
    <w:rsid w:val="493E0515"/>
    <w:rsid w:val="49974E74"/>
    <w:rsid w:val="4A4D2829"/>
    <w:rsid w:val="51373F3D"/>
    <w:rsid w:val="55FB7588"/>
    <w:rsid w:val="581B40F7"/>
    <w:rsid w:val="5BA07BB6"/>
    <w:rsid w:val="5EFB6C0F"/>
    <w:rsid w:val="5F2B66BC"/>
    <w:rsid w:val="618D0E1A"/>
    <w:rsid w:val="629D1B22"/>
    <w:rsid w:val="63637DD7"/>
    <w:rsid w:val="6A47529D"/>
    <w:rsid w:val="6AF61310"/>
    <w:rsid w:val="6B413A50"/>
    <w:rsid w:val="6C0040EC"/>
    <w:rsid w:val="6DB0368A"/>
    <w:rsid w:val="78397A44"/>
    <w:rsid w:val="7A1A522E"/>
    <w:rsid w:val="7D6A6C4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1"/>
    <w:qFormat/>
    <w:uiPriority w:val="99"/>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qFormat/>
    <w:uiPriority w:val="99"/>
    <w:pPr>
      <w:spacing w:after="120"/>
    </w:pPr>
    <w:rPr>
      <w:szCs w:val="24"/>
    </w:rPr>
  </w:style>
  <w:style w:type="paragraph" w:styleId="7">
    <w:name w:val="Plain Text"/>
    <w:basedOn w:val="1"/>
    <w:qFormat/>
    <w:uiPriority w:val="99"/>
    <w:rPr>
      <w:rFonts w:ascii="宋体" w:hAnsi="Courier New"/>
      <w:szCs w:val="22"/>
    </w:rPr>
  </w:style>
  <w:style w:type="paragraph" w:styleId="8">
    <w:name w:val="Date"/>
    <w:basedOn w:val="1"/>
    <w:next w:val="1"/>
    <w:qFormat/>
    <w:uiPriority w:val="99"/>
    <w:rPr>
      <w:rFonts w:ascii="Arial" w:hAnsi="Arial" w:eastAsia="楷体_GB2312"/>
      <w:sz w:val="2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Hyperlink"/>
    <w:qFormat/>
    <w:uiPriority w:val="0"/>
    <w:rPr>
      <w:color w:val="0000FF"/>
      <w:u w:val="single"/>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D&amp;L"/>
    <w:basedOn w:val="10"/>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17">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18">
    <w:name w:val="Char"/>
    <w:basedOn w:val="1"/>
    <w:qFormat/>
    <w:uiPriority w:val="99"/>
    <w:rPr>
      <w:rFonts w:ascii="Tahoma" w:hAnsi="Tahoma"/>
      <w:sz w:val="24"/>
    </w:rPr>
  </w:style>
  <w:style w:type="paragraph" w:customStyle="1" w:styleId="19">
    <w:name w:val="样式 标题 2 + 宋体 五号 行距: 单倍行距"/>
    <w:basedOn w:val="5"/>
    <w:qFormat/>
    <w:uiPriority w:val="99"/>
    <w:pPr>
      <w:spacing w:line="240" w:lineRule="auto"/>
    </w:pPr>
    <w:rPr>
      <w:rFonts w:ascii="宋体" w:hAnsi="宋体" w:eastAsia="宋体"/>
      <w:sz w:val="21"/>
    </w:rPr>
  </w:style>
  <w:style w:type="paragraph" w:customStyle="1" w:styleId="20">
    <w:name w:val="Char Char Char Char Char Char Char1 Char"/>
    <w:basedOn w:val="1"/>
    <w:qFormat/>
    <w:uiPriority w:val="99"/>
    <w:rPr>
      <w:rFonts w:ascii="Tahoma" w:hAnsi="Tahoma"/>
      <w:sz w:val="24"/>
    </w:rPr>
  </w:style>
  <w:style w:type="character" w:customStyle="1" w:styleId="21">
    <w:name w:val="标题 3 Char"/>
    <w:basedOn w:val="12"/>
    <w:link w:val="6"/>
    <w:qFormat/>
    <w:locked/>
    <w:uiPriority w:val="99"/>
    <w:rPr>
      <w:b/>
      <w:bCs/>
      <w:sz w:val="32"/>
      <w:szCs w:val="32"/>
    </w:rPr>
  </w:style>
  <w:style w:type="paragraph" w:customStyle="1" w:styleId="2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Administrator</cp:lastModifiedBy>
  <cp:lastPrinted>2019-08-22T07:04:00Z</cp:lastPrinted>
  <dcterms:modified xsi:type="dcterms:W3CDTF">2019-10-12T09:29:15Z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